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A44E01" w:rsidRDefault="00A44E01" w:rsidP="00A44E01">
      <w:pPr>
        <w:spacing w:line="220" w:lineRule="atLeast"/>
        <w:jc w:val="center"/>
        <w:rPr>
          <w:sz w:val="72"/>
          <w:szCs w:val="72"/>
        </w:rPr>
      </w:pPr>
      <w:r w:rsidRPr="00A44E01">
        <w:rPr>
          <w:rFonts w:hint="eastAsia"/>
          <w:sz w:val="72"/>
          <w:szCs w:val="72"/>
        </w:rPr>
        <w:t>靖宇</w:t>
      </w:r>
      <w:r w:rsidR="002D2917">
        <w:rPr>
          <w:rFonts w:hint="eastAsia"/>
          <w:sz w:val="72"/>
          <w:szCs w:val="72"/>
        </w:rPr>
        <w:t>相信</w:t>
      </w:r>
      <w:r w:rsidRPr="00A44E01">
        <w:rPr>
          <w:rFonts w:hint="eastAsia"/>
          <w:sz w:val="72"/>
          <w:szCs w:val="72"/>
        </w:rPr>
        <w:t>屠宰场</w:t>
      </w:r>
    </w:p>
    <w:p w:rsidR="00A44E01" w:rsidRDefault="00A44E01" w:rsidP="00A44E01">
      <w:pPr>
        <w:spacing w:line="220" w:lineRule="atLeast"/>
        <w:jc w:val="center"/>
        <w:rPr>
          <w:sz w:val="48"/>
          <w:szCs w:val="48"/>
        </w:rPr>
      </w:pPr>
      <w:r w:rsidRPr="00A44E01">
        <w:rPr>
          <w:rFonts w:hint="eastAsia"/>
          <w:sz w:val="48"/>
          <w:szCs w:val="48"/>
        </w:rPr>
        <w:t>自行监测方案</w:t>
      </w: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rPr>
      </w:pPr>
    </w:p>
    <w:p w:rsidR="00A44E01" w:rsidRDefault="00A44E01" w:rsidP="00A44E01">
      <w:pPr>
        <w:spacing w:line="220" w:lineRule="atLeast"/>
        <w:jc w:val="center"/>
        <w:rPr>
          <w:sz w:val="48"/>
          <w:szCs w:val="48"/>
          <w:u w:val="single"/>
        </w:rPr>
      </w:pPr>
      <w:r>
        <w:rPr>
          <w:rFonts w:hint="eastAsia"/>
          <w:sz w:val="48"/>
          <w:szCs w:val="48"/>
        </w:rPr>
        <w:t>企业名称</w:t>
      </w:r>
      <w:r>
        <w:rPr>
          <w:rFonts w:hint="eastAsia"/>
          <w:sz w:val="48"/>
          <w:szCs w:val="48"/>
        </w:rPr>
        <w:t>:</w:t>
      </w:r>
      <w:r w:rsidRPr="00A44E01">
        <w:rPr>
          <w:rFonts w:hint="eastAsia"/>
          <w:sz w:val="48"/>
          <w:szCs w:val="48"/>
          <w:u w:val="single"/>
        </w:rPr>
        <w:t>靖宇相信屠宰场</w:t>
      </w:r>
    </w:p>
    <w:p w:rsidR="00A44E01" w:rsidRDefault="00A44E01" w:rsidP="00A44E01">
      <w:pPr>
        <w:spacing w:line="220" w:lineRule="atLeast"/>
        <w:jc w:val="center"/>
        <w:rPr>
          <w:sz w:val="48"/>
          <w:szCs w:val="48"/>
          <w:u w:val="single"/>
        </w:rPr>
      </w:pPr>
      <w:r w:rsidRPr="00A44E01">
        <w:rPr>
          <w:rFonts w:hint="eastAsia"/>
          <w:sz w:val="48"/>
          <w:szCs w:val="48"/>
        </w:rPr>
        <w:t>编制时间</w:t>
      </w:r>
      <w:r>
        <w:rPr>
          <w:rFonts w:hint="eastAsia"/>
          <w:sz w:val="48"/>
          <w:szCs w:val="48"/>
        </w:rPr>
        <w:t>：</w:t>
      </w:r>
      <w:r w:rsidRPr="00A44E01">
        <w:rPr>
          <w:rFonts w:hint="eastAsia"/>
          <w:sz w:val="48"/>
          <w:szCs w:val="48"/>
          <w:u w:val="single"/>
        </w:rPr>
        <w:t>202</w:t>
      </w:r>
      <w:r w:rsidR="0085578A">
        <w:rPr>
          <w:rFonts w:hint="eastAsia"/>
          <w:sz w:val="48"/>
          <w:szCs w:val="48"/>
          <w:u w:val="single"/>
        </w:rPr>
        <w:t>1</w:t>
      </w:r>
      <w:r w:rsidRPr="00A44E01">
        <w:rPr>
          <w:rFonts w:hint="eastAsia"/>
          <w:sz w:val="48"/>
          <w:szCs w:val="48"/>
          <w:u w:val="single"/>
        </w:rPr>
        <w:t>年度</w:t>
      </w:r>
    </w:p>
    <w:p w:rsidR="00A44E01" w:rsidRPr="00A44E01" w:rsidRDefault="00A44E01" w:rsidP="00A44E01">
      <w:pPr>
        <w:spacing w:line="220" w:lineRule="atLeast"/>
        <w:rPr>
          <w:sz w:val="48"/>
          <w:szCs w:val="48"/>
        </w:rPr>
      </w:pPr>
    </w:p>
    <w:p w:rsidR="00433C2B" w:rsidRDefault="00433C2B" w:rsidP="00F765EF">
      <w:pPr>
        <w:spacing w:line="220" w:lineRule="atLeast"/>
        <w:rPr>
          <w:sz w:val="28"/>
          <w:szCs w:val="28"/>
        </w:rPr>
      </w:pPr>
      <w:r>
        <w:rPr>
          <w:rFonts w:hint="eastAsia"/>
          <w:sz w:val="28"/>
          <w:szCs w:val="28"/>
        </w:rPr>
        <w:lastRenderedPageBreak/>
        <w:t>一、单位概况</w:t>
      </w:r>
    </w:p>
    <w:p w:rsidR="00433C2B" w:rsidRDefault="002D2917" w:rsidP="00433C2B">
      <w:pPr>
        <w:spacing w:line="220" w:lineRule="atLeast"/>
        <w:rPr>
          <w:sz w:val="28"/>
          <w:szCs w:val="28"/>
        </w:rPr>
      </w:pPr>
      <w:r w:rsidRPr="00F765EF">
        <w:rPr>
          <w:rFonts w:hint="eastAsia"/>
          <w:sz w:val="28"/>
          <w:szCs w:val="28"/>
        </w:rPr>
        <w:t>靖宇相信屠宰场</w:t>
      </w:r>
      <w:r w:rsidR="00F765EF">
        <w:rPr>
          <w:rFonts w:hint="eastAsia"/>
          <w:sz w:val="28"/>
          <w:szCs w:val="28"/>
        </w:rPr>
        <w:t>属于农副食品加工业</w:t>
      </w:r>
      <w:r w:rsidR="00F765EF">
        <w:rPr>
          <w:sz w:val="28"/>
          <w:szCs w:val="28"/>
        </w:rPr>
        <w:t>—</w:t>
      </w:r>
      <w:r w:rsidR="00F765EF">
        <w:rPr>
          <w:rFonts w:hint="eastAsia"/>
          <w:sz w:val="28"/>
          <w:szCs w:val="28"/>
        </w:rPr>
        <w:t>屠宰及肉类加工业，是简化管理企业，</w:t>
      </w:r>
      <w:r w:rsidRPr="00F765EF">
        <w:rPr>
          <w:rFonts w:hint="eastAsia"/>
          <w:sz w:val="28"/>
          <w:szCs w:val="28"/>
        </w:rPr>
        <w:t>位于</w:t>
      </w:r>
      <w:r w:rsidR="0048588D" w:rsidRPr="00F765EF">
        <w:rPr>
          <w:rFonts w:hint="eastAsia"/>
          <w:sz w:val="28"/>
          <w:szCs w:val="28"/>
        </w:rPr>
        <w:t>靖宇县第二木器厂改制的企业用地，</w:t>
      </w:r>
      <w:r w:rsidR="00E25218">
        <w:rPr>
          <w:rFonts w:hint="eastAsia"/>
          <w:sz w:val="28"/>
          <w:szCs w:val="28"/>
        </w:rPr>
        <w:t>于</w:t>
      </w:r>
      <w:r w:rsidR="00E25218">
        <w:rPr>
          <w:rFonts w:hint="eastAsia"/>
          <w:sz w:val="28"/>
          <w:szCs w:val="28"/>
        </w:rPr>
        <w:t>2012</w:t>
      </w:r>
      <w:r w:rsidR="00E25218">
        <w:rPr>
          <w:rFonts w:hint="eastAsia"/>
          <w:sz w:val="28"/>
          <w:szCs w:val="28"/>
        </w:rPr>
        <w:t>年</w:t>
      </w:r>
      <w:r w:rsidR="00E25218">
        <w:rPr>
          <w:rFonts w:hint="eastAsia"/>
          <w:sz w:val="28"/>
          <w:szCs w:val="28"/>
        </w:rPr>
        <w:t>10</w:t>
      </w:r>
      <w:r w:rsidR="00E25218">
        <w:rPr>
          <w:rFonts w:hint="eastAsia"/>
          <w:sz w:val="28"/>
          <w:szCs w:val="28"/>
        </w:rPr>
        <w:t>月</w:t>
      </w:r>
      <w:r w:rsidR="00E25218">
        <w:rPr>
          <w:rFonts w:hint="eastAsia"/>
          <w:sz w:val="28"/>
          <w:szCs w:val="28"/>
        </w:rPr>
        <w:t>5</w:t>
      </w:r>
      <w:r w:rsidR="00E25218">
        <w:rPr>
          <w:rFonts w:hint="eastAsia"/>
          <w:sz w:val="28"/>
          <w:szCs w:val="28"/>
        </w:rPr>
        <w:t>日开始投产，</w:t>
      </w:r>
      <w:r w:rsidR="00433C2B">
        <w:rPr>
          <w:rFonts w:hint="eastAsia"/>
          <w:sz w:val="28"/>
          <w:szCs w:val="28"/>
        </w:rPr>
        <w:t>项目投资建设</w:t>
      </w:r>
      <w:r w:rsidR="00433C2B">
        <w:rPr>
          <w:rFonts w:hint="eastAsia"/>
          <w:sz w:val="28"/>
          <w:szCs w:val="28"/>
        </w:rPr>
        <w:t>5848.57</w:t>
      </w:r>
      <w:r w:rsidR="00433C2B">
        <w:rPr>
          <w:rFonts w:hint="eastAsia"/>
          <w:sz w:val="28"/>
          <w:szCs w:val="28"/>
        </w:rPr>
        <w:t>万元</w:t>
      </w:r>
    </w:p>
    <w:p w:rsidR="00433C2B" w:rsidRDefault="001F5F12" w:rsidP="00433C2B">
      <w:pPr>
        <w:spacing w:line="220" w:lineRule="atLeast"/>
        <w:rPr>
          <w:sz w:val="28"/>
          <w:szCs w:val="28"/>
        </w:rPr>
      </w:pPr>
      <w:r>
        <w:rPr>
          <w:rFonts w:hint="eastAsia"/>
          <w:sz w:val="28"/>
          <w:szCs w:val="28"/>
        </w:rPr>
        <w:t xml:space="preserve"> </w:t>
      </w:r>
      <w:r>
        <w:rPr>
          <w:rFonts w:hint="eastAsia"/>
          <w:sz w:val="28"/>
          <w:szCs w:val="28"/>
        </w:rPr>
        <w:t>二、企业污染源情况</w:t>
      </w:r>
    </w:p>
    <w:p w:rsidR="00433C2B" w:rsidRDefault="00433C2B" w:rsidP="00433C2B">
      <w:pPr>
        <w:spacing w:line="220" w:lineRule="atLeast"/>
        <w:rPr>
          <w:sz w:val="28"/>
          <w:szCs w:val="28"/>
        </w:rPr>
      </w:pPr>
      <w:r>
        <w:rPr>
          <w:rFonts w:hint="eastAsia"/>
          <w:sz w:val="28"/>
          <w:szCs w:val="28"/>
        </w:rPr>
        <w:t>相信屠宰场污染源只有废水和无组织厂界废气，其中废水监测项目为化学需氧量，</w:t>
      </w:r>
      <w:r>
        <w:rPr>
          <w:rFonts w:hint="eastAsia"/>
          <w:sz w:val="28"/>
          <w:szCs w:val="28"/>
        </w:rPr>
        <w:t>PH</w:t>
      </w:r>
      <w:r>
        <w:rPr>
          <w:rFonts w:hint="eastAsia"/>
          <w:sz w:val="28"/>
          <w:szCs w:val="28"/>
        </w:rPr>
        <w:t>，五日生化需氧量、氨氮、悬浮物、动植物类、大肠菌群数和流量共</w:t>
      </w:r>
      <w:r w:rsidR="00FF7640">
        <w:rPr>
          <w:rFonts w:hint="eastAsia"/>
          <w:sz w:val="28"/>
          <w:szCs w:val="28"/>
        </w:rPr>
        <w:t>八项，监测频次为</w:t>
      </w:r>
      <w:r w:rsidR="00FF7640">
        <w:rPr>
          <w:rFonts w:hint="eastAsia"/>
          <w:sz w:val="28"/>
          <w:szCs w:val="28"/>
        </w:rPr>
        <w:t>1</w:t>
      </w:r>
      <w:r w:rsidR="00FF7640">
        <w:rPr>
          <w:rFonts w:hint="eastAsia"/>
          <w:sz w:val="28"/>
          <w:szCs w:val="28"/>
        </w:rPr>
        <w:t>次</w:t>
      </w:r>
      <w:r w:rsidR="00FF7640">
        <w:rPr>
          <w:rFonts w:hint="eastAsia"/>
          <w:sz w:val="28"/>
          <w:szCs w:val="28"/>
        </w:rPr>
        <w:t>/</w:t>
      </w:r>
      <w:r w:rsidR="00FF7640">
        <w:rPr>
          <w:rFonts w:hint="eastAsia"/>
          <w:sz w:val="28"/>
          <w:szCs w:val="28"/>
        </w:rPr>
        <w:t>半年；废气监测项目为臭气浓度，氨气，硫化氢，颗粒物共四项，</w:t>
      </w:r>
      <w:r w:rsidR="001F5F12">
        <w:rPr>
          <w:rFonts w:hint="eastAsia"/>
          <w:sz w:val="28"/>
          <w:szCs w:val="28"/>
        </w:rPr>
        <w:t>其中臭气浓度，氨气，硫化氢监测频次为</w:t>
      </w:r>
      <w:r w:rsidR="001F5F12">
        <w:rPr>
          <w:rFonts w:hint="eastAsia"/>
          <w:sz w:val="28"/>
          <w:szCs w:val="28"/>
        </w:rPr>
        <w:t>1</w:t>
      </w:r>
      <w:r w:rsidR="001F5F12">
        <w:rPr>
          <w:rFonts w:hint="eastAsia"/>
          <w:sz w:val="28"/>
          <w:szCs w:val="28"/>
        </w:rPr>
        <w:t>次</w:t>
      </w:r>
      <w:r w:rsidR="001F5F12">
        <w:rPr>
          <w:rFonts w:hint="eastAsia"/>
          <w:sz w:val="28"/>
          <w:szCs w:val="28"/>
        </w:rPr>
        <w:t>/</w:t>
      </w:r>
      <w:r w:rsidR="001F5F12">
        <w:rPr>
          <w:rFonts w:hint="eastAsia"/>
          <w:sz w:val="28"/>
          <w:szCs w:val="28"/>
        </w:rPr>
        <w:t>半年，颗粒物监测频次为</w:t>
      </w:r>
      <w:r w:rsidR="001F5F12">
        <w:rPr>
          <w:rFonts w:hint="eastAsia"/>
          <w:sz w:val="28"/>
          <w:szCs w:val="28"/>
        </w:rPr>
        <w:t>1</w:t>
      </w:r>
      <w:r w:rsidR="001F5F12">
        <w:rPr>
          <w:rFonts w:hint="eastAsia"/>
          <w:sz w:val="28"/>
          <w:szCs w:val="28"/>
        </w:rPr>
        <w:t>次</w:t>
      </w:r>
      <w:r w:rsidR="001F5F12">
        <w:rPr>
          <w:rFonts w:hint="eastAsia"/>
          <w:sz w:val="28"/>
          <w:szCs w:val="28"/>
        </w:rPr>
        <w:t>/</w:t>
      </w:r>
      <w:r w:rsidR="001F5F12">
        <w:rPr>
          <w:rFonts w:hint="eastAsia"/>
          <w:sz w:val="28"/>
          <w:szCs w:val="28"/>
        </w:rPr>
        <w:t>季度。</w:t>
      </w:r>
    </w:p>
    <w:p w:rsidR="001F5F12" w:rsidRDefault="001F5F12" w:rsidP="001F5F12">
      <w:pPr>
        <w:outlineLvl w:val="0"/>
        <w:rPr>
          <w:rFonts w:ascii="仿宋" w:eastAsia="仿宋" w:hAnsi="仿宋" w:cs="Times New Roman"/>
          <w:b/>
          <w:sz w:val="28"/>
          <w:szCs w:val="28"/>
        </w:rPr>
      </w:pPr>
      <w:r w:rsidRPr="001F5F12">
        <w:rPr>
          <w:rFonts w:hint="eastAsia"/>
          <w:sz w:val="28"/>
          <w:szCs w:val="28"/>
        </w:rPr>
        <w:t>三、</w:t>
      </w:r>
      <w:r w:rsidRPr="001F5F12">
        <w:rPr>
          <w:rFonts w:ascii="仿宋" w:eastAsia="仿宋" w:hAnsi="仿宋" w:cs="Times New Roman" w:hint="eastAsia"/>
          <w:b/>
          <w:sz w:val="28"/>
          <w:szCs w:val="28"/>
        </w:rPr>
        <w:t>监测指标、频次及监测分析方法</w:t>
      </w:r>
    </w:p>
    <w:p w:rsidR="00C915C3" w:rsidRPr="00623132" w:rsidRDefault="00C915C3" w:rsidP="00623132">
      <w:pPr>
        <w:jc w:val="center"/>
        <w:outlineLvl w:val="0"/>
        <w:rPr>
          <w:rFonts w:asciiTheme="minorEastAsia" w:eastAsiaTheme="minorEastAsia" w:hAnsiTheme="minorEastAsia" w:cs="Times New Roman"/>
          <w:b/>
          <w:sz w:val="24"/>
          <w:szCs w:val="24"/>
        </w:rPr>
      </w:pPr>
      <w:r w:rsidRPr="00623132">
        <w:rPr>
          <w:rFonts w:asciiTheme="minorEastAsia" w:eastAsiaTheme="minorEastAsia" w:hAnsiTheme="minorEastAsia" w:cs="Times New Roman" w:hint="eastAsia"/>
          <w:b/>
          <w:sz w:val="24"/>
          <w:szCs w:val="24"/>
        </w:rPr>
        <w:t>表1   废水排放监测指标、频次及监测分析方法</w:t>
      </w:r>
    </w:p>
    <w:tbl>
      <w:tblPr>
        <w:tblW w:w="0" w:type="auto"/>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7"/>
        <w:gridCol w:w="818"/>
        <w:gridCol w:w="1176"/>
        <w:gridCol w:w="936"/>
        <w:gridCol w:w="1763"/>
        <w:gridCol w:w="1321"/>
        <w:gridCol w:w="1124"/>
      </w:tblGrid>
      <w:tr w:rsidR="001F5F12" w:rsidTr="00623132">
        <w:trPr>
          <w:trHeight w:val="705"/>
          <w:jc w:val="center"/>
        </w:trPr>
        <w:tc>
          <w:tcPr>
            <w:tcW w:w="1317" w:type="dxa"/>
            <w:tcMar>
              <w:left w:w="57" w:type="dxa"/>
              <w:right w:w="57" w:type="dxa"/>
            </w:tcMar>
          </w:tcPr>
          <w:p w:rsidR="001F5F12" w:rsidRDefault="001F5F12" w:rsidP="00F8235A">
            <w:pPr>
              <w:pStyle w:val="a3"/>
              <w:spacing w:after="0"/>
              <w:jc w:val="center"/>
              <w:rPr>
                <w:rFonts w:ascii="宋体" w:hAnsi="宋体" w:cs="宋体"/>
                <w:sz w:val="21"/>
                <w:szCs w:val="21"/>
              </w:rPr>
            </w:pPr>
            <w:r>
              <w:rPr>
                <w:rFonts w:ascii="宋体" w:hAnsi="宋体" w:cs="宋体" w:hint="eastAsia"/>
                <w:sz w:val="21"/>
                <w:szCs w:val="21"/>
              </w:rPr>
              <w:t>监测点位</w:t>
            </w:r>
          </w:p>
        </w:tc>
        <w:tc>
          <w:tcPr>
            <w:tcW w:w="818" w:type="dxa"/>
            <w:tcMar>
              <w:left w:w="57" w:type="dxa"/>
              <w:right w:w="57" w:type="dxa"/>
            </w:tcMar>
          </w:tcPr>
          <w:p w:rsidR="001F5F12" w:rsidRDefault="001F5F12" w:rsidP="00F8235A">
            <w:pPr>
              <w:pStyle w:val="a3"/>
              <w:spacing w:after="0"/>
              <w:jc w:val="center"/>
              <w:rPr>
                <w:rFonts w:ascii="宋体" w:hAnsi="宋体" w:cs="宋体"/>
                <w:sz w:val="21"/>
                <w:szCs w:val="21"/>
              </w:rPr>
            </w:pPr>
            <w:r>
              <w:rPr>
                <w:rFonts w:ascii="宋体" w:hAnsi="宋体" w:cs="宋体" w:hint="eastAsia"/>
                <w:sz w:val="21"/>
                <w:szCs w:val="21"/>
              </w:rPr>
              <w:t>监测项目</w:t>
            </w:r>
          </w:p>
        </w:tc>
        <w:tc>
          <w:tcPr>
            <w:tcW w:w="1176" w:type="dxa"/>
            <w:tcMar>
              <w:left w:w="57" w:type="dxa"/>
              <w:right w:w="57" w:type="dxa"/>
            </w:tcMar>
          </w:tcPr>
          <w:p w:rsidR="001F5F12" w:rsidRDefault="001F5F12" w:rsidP="00F8235A">
            <w:pPr>
              <w:pStyle w:val="a3"/>
              <w:spacing w:after="0"/>
              <w:jc w:val="center"/>
              <w:rPr>
                <w:rFonts w:ascii="宋体" w:hAnsi="宋体" w:cs="宋体"/>
                <w:sz w:val="21"/>
                <w:szCs w:val="21"/>
              </w:rPr>
            </w:pPr>
            <w:r>
              <w:rPr>
                <w:rFonts w:ascii="宋体" w:hAnsi="宋体" w:cs="宋体" w:hint="eastAsia"/>
                <w:sz w:val="21"/>
                <w:szCs w:val="21"/>
              </w:rPr>
              <w:t>技术手段</w:t>
            </w:r>
          </w:p>
        </w:tc>
        <w:tc>
          <w:tcPr>
            <w:tcW w:w="936" w:type="dxa"/>
            <w:tcMar>
              <w:left w:w="57" w:type="dxa"/>
              <w:right w:w="57" w:type="dxa"/>
            </w:tcMar>
          </w:tcPr>
          <w:p w:rsidR="001F5F12" w:rsidRDefault="001F5F12" w:rsidP="00F8235A">
            <w:pPr>
              <w:pStyle w:val="a3"/>
              <w:spacing w:after="0"/>
              <w:jc w:val="center"/>
              <w:rPr>
                <w:rFonts w:ascii="宋体" w:hAnsi="宋体" w:cs="宋体"/>
                <w:sz w:val="21"/>
                <w:szCs w:val="21"/>
              </w:rPr>
            </w:pPr>
            <w:r>
              <w:rPr>
                <w:rFonts w:ascii="宋体" w:hAnsi="宋体" w:cs="宋体" w:hint="eastAsia"/>
                <w:sz w:val="21"/>
                <w:szCs w:val="21"/>
              </w:rPr>
              <w:t>监测频次</w:t>
            </w:r>
          </w:p>
        </w:tc>
        <w:tc>
          <w:tcPr>
            <w:tcW w:w="1763" w:type="dxa"/>
            <w:tcMar>
              <w:left w:w="57" w:type="dxa"/>
              <w:right w:w="57" w:type="dxa"/>
            </w:tcMar>
          </w:tcPr>
          <w:p w:rsidR="001F5F12" w:rsidRDefault="001F5F12" w:rsidP="00F8235A">
            <w:pPr>
              <w:pStyle w:val="a3"/>
              <w:spacing w:after="0"/>
              <w:jc w:val="center"/>
              <w:rPr>
                <w:rFonts w:ascii="宋体" w:hAnsi="宋体" w:cs="宋体"/>
                <w:sz w:val="21"/>
                <w:szCs w:val="21"/>
              </w:rPr>
            </w:pPr>
            <w:r>
              <w:rPr>
                <w:rFonts w:ascii="宋体" w:hAnsi="宋体" w:cs="宋体" w:hint="eastAsia"/>
                <w:sz w:val="21"/>
                <w:szCs w:val="21"/>
              </w:rPr>
              <w:t>监测方法</w:t>
            </w:r>
          </w:p>
        </w:tc>
        <w:tc>
          <w:tcPr>
            <w:tcW w:w="1321" w:type="dxa"/>
          </w:tcPr>
          <w:p w:rsidR="001F5F12" w:rsidRDefault="001F5F12" w:rsidP="00F8235A">
            <w:pPr>
              <w:pStyle w:val="a3"/>
              <w:spacing w:after="0"/>
              <w:jc w:val="center"/>
              <w:rPr>
                <w:rFonts w:ascii="宋体" w:hAnsi="宋体" w:cs="宋体"/>
                <w:sz w:val="21"/>
                <w:szCs w:val="21"/>
              </w:rPr>
            </w:pPr>
            <w:r>
              <w:rPr>
                <w:rFonts w:ascii="宋体" w:hAnsi="宋体" w:cs="宋体" w:hint="eastAsia"/>
                <w:sz w:val="21"/>
                <w:szCs w:val="21"/>
              </w:rPr>
              <w:t>排放标准</w:t>
            </w:r>
          </w:p>
        </w:tc>
        <w:tc>
          <w:tcPr>
            <w:tcW w:w="1124" w:type="dxa"/>
            <w:tcMar>
              <w:left w:w="57" w:type="dxa"/>
              <w:right w:w="57" w:type="dxa"/>
            </w:tcMar>
          </w:tcPr>
          <w:p w:rsidR="001F5F12" w:rsidRDefault="001F5F12" w:rsidP="00F8235A">
            <w:pPr>
              <w:pStyle w:val="a3"/>
              <w:spacing w:after="0"/>
              <w:jc w:val="center"/>
              <w:rPr>
                <w:rFonts w:ascii="宋体" w:hAnsi="宋体" w:cs="宋体"/>
                <w:sz w:val="21"/>
                <w:szCs w:val="21"/>
              </w:rPr>
            </w:pPr>
            <w:r>
              <w:rPr>
                <w:rFonts w:ascii="宋体" w:hAnsi="宋体" w:cs="宋体" w:hint="eastAsia"/>
                <w:sz w:val="21"/>
                <w:szCs w:val="21"/>
              </w:rPr>
              <w:t>排放限值</w:t>
            </w:r>
          </w:p>
        </w:tc>
      </w:tr>
      <w:tr w:rsidR="001F5F12" w:rsidTr="00623132">
        <w:trPr>
          <w:trHeight w:val="397"/>
          <w:jc w:val="center"/>
        </w:trPr>
        <w:tc>
          <w:tcPr>
            <w:tcW w:w="1317"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DW001</w:t>
            </w:r>
            <w:r>
              <w:rPr>
                <w:rFonts w:ascii="Arial" w:eastAsia="宋体" w:hAnsi="Arial" w:cs="Arial"/>
                <w:color w:val="333333"/>
                <w:sz w:val="21"/>
                <w:szCs w:val="21"/>
                <w:shd w:val="clear" w:color="auto" w:fill="FFFFFF"/>
              </w:rPr>
              <w:t>屠宰废水排放口</w:t>
            </w:r>
          </w:p>
        </w:tc>
        <w:tc>
          <w:tcPr>
            <w:tcW w:w="818"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Arial" w:eastAsia="宋体" w:hAnsi="Arial" w:cs="Arial"/>
                <w:color w:val="333333"/>
                <w:sz w:val="21"/>
                <w:szCs w:val="21"/>
                <w:shd w:val="clear" w:color="auto" w:fill="FFFFFF"/>
              </w:rPr>
              <w:t>pH</w:t>
            </w:r>
            <w:r>
              <w:rPr>
                <w:rFonts w:ascii="Arial" w:eastAsia="宋体" w:hAnsi="Arial" w:cs="Arial"/>
                <w:color w:val="333333"/>
                <w:sz w:val="21"/>
                <w:szCs w:val="21"/>
                <w:shd w:val="clear" w:color="auto" w:fill="FFFFFF"/>
              </w:rPr>
              <w:t>值</w:t>
            </w:r>
          </w:p>
        </w:tc>
        <w:tc>
          <w:tcPr>
            <w:tcW w:w="1176"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hAnsi="宋体" w:cs="Times New Roman" w:hint="eastAsia"/>
                <w:kern w:val="2"/>
                <w:sz w:val="21"/>
              </w:rPr>
              <w:t>手工</w:t>
            </w:r>
            <w:r>
              <w:rPr>
                <w:rFonts w:ascii="宋体" w:eastAsia="宋体" w:hAnsi="宋体" w:cs="Times New Roman" w:hint="eastAsia"/>
                <w:kern w:val="2"/>
                <w:sz w:val="21"/>
              </w:rPr>
              <w:t>监测</w:t>
            </w:r>
          </w:p>
        </w:tc>
        <w:tc>
          <w:tcPr>
            <w:tcW w:w="936"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1次/</w:t>
            </w:r>
            <w:r>
              <w:rPr>
                <w:rFonts w:ascii="宋体" w:hAnsi="宋体" w:cs="Times New Roman" w:hint="eastAsia"/>
                <w:kern w:val="2"/>
                <w:sz w:val="21"/>
              </w:rPr>
              <w:t>半年</w:t>
            </w:r>
          </w:p>
        </w:tc>
        <w:tc>
          <w:tcPr>
            <w:tcW w:w="1763"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水质 pH值的测定 玻璃电极法 GB 6920-1986</w:t>
            </w:r>
          </w:p>
        </w:tc>
        <w:tc>
          <w:tcPr>
            <w:tcW w:w="1321" w:type="dxa"/>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w:t>
            </w:r>
            <w:r>
              <w:rPr>
                <w:rFonts w:ascii="Arial" w:eastAsia="宋体" w:hAnsi="Arial" w:cs="Arial"/>
                <w:color w:val="333333"/>
                <w:sz w:val="21"/>
                <w:szCs w:val="21"/>
                <w:shd w:val="clear" w:color="auto" w:fill="FFFFFF"/>
              </w:rPr>
              <w:t>肉类加工工业水污染物排</w:t>
            </w:r>
            <w:r>
              <w:rPr>
                <w:rFonts w:ascii="宋体" w:eastAsia="宋体" w:hAnsi="宋体" w:cs="宋体" w:hint="eastAsia"/>
                <w:color w:val="333333"/>
                <w:sz w:val="21"/>
                <w:szCs w:val="21"/>
                <w:shd w:val="clear" w:color="auto" w:fill="FFFFFF"/>
              </w:rPr>
              <w:t>放标准》GB 13457-92</w:t>
            </w:r>
          </w:p>
        </w:tc>
        <w:tc>
          <w:tcPr>
            <w:tcW w:w="1124" w:type="dxa"/>
            <w:tcMar>
              <w:left w:w="57" w:type="dxa"/>
              <w:right w:w="57" w:type="dxa"/>
            </w:tcMar>
            <w:vAlign w:val="center"/>
          </w:tcPr>
          <w:p w:rsidR="001F5F12" w:rsidRDefault="001F5F12" w:rsidP="00F8235A">
            <w:pPr>
              <w:spacing w:after="0"/>
              <w:jc w:val="both"/>
              <w:rPr>
                <w:rFonts w:ascii="宋体" w:eastAsia="宋体" w:hAnsi="宋体" w:cs="Times New Roman"/>
                <w:kern w:val="2"/>
                <w:sz w:val="21"/>
              </w:rPr>
            </w:pPr>
            <w:r>
              <w:rPr>
                <w:rFonts w:ascii="Arial" w:eastAsia="宋体" w:hAnsi="Arial" w:cs="Arial"/>
                <w:color w:val="333333"/>
                <w:sz w:val="21"/>
                <w:szCs w:val="21"/>
                <w:shd w:val="clear" w:color="auto" w:fill="FFFFFF"/>
              </w:rPr>
              <w:t>1</w:t>
            </w:r>
            <w:r>
              <w:rPr>
                <w:rFonts w:ascii="Arial" w:eastAsia="宋体" w:hAnsi="Arial" w:cs="Arial"/>
                <w:color w:val="333333"/>
                <w:sz w:val="21"/>
                <w:szCs w:val="21"/>
                <w:shd w:val="clear" w:color="auto" w:fill="FFFFFF"/>
              </w:rPr>
              <w:t>次</w:t>
            </w:r>
            <w:r>
              <w:rPr>
                <w:rFonts w:ascii="Arial" w:eastAsia="宋体" w:hAnsi="Arial" w:cs="Arial"/>
                <w:color w:val="333333"/>
                <w:sz w:val="21"/>
                <w:szCs w:val="21"/>
                <w:shd w:val="clear" w:color="auto" w:fill="FFFFFF"/>
              </w:rPr>
              <w:t>/</w:t>
            </w:r>
            <w:r>
              <w:rPr>
                <w:rFonts w:ascii="Arial" w:eastAsia="宋体" w:hAnsi="Arial" w:cs="Arial"/>
                <w:color w:val="333333"/>
                <w:sz w:val="21"/>
                <w:szCs w:val="21"/>
                <w:shd w:val="clear" w:color="auto" w:fill="FFFFFF"/>
              </w:rPr>
              <w:t>半年</w:t>
            </w:r>
          </w:p>
        </w:tc>
      </w:tr>
      <w:tr w:rsidR="001F5F12" w:rsidTr="00623132">
        <w:trPr>
          <w:trHeight w:val="397"/>
          <w:jc w:val="center"/>
        </w:trPr>
        <w:tc>
          <w:tcPr>
            <w:tcW w:w="1317" w:type="dxa"/>
            <w:tcMar>
              <w:left w:w="57" w:type="dxa"/>
              <w:right w:w="57" w:type="dxa"/>
            </w:tcMar>
            <w:vAlign w:val="center"/>
          </w:tcPr>
          <w:p w:rsidR="001F5F12" w:rsidRDefault="001F5F12" w:rsidP="00F8235A">
            <w:pPr>
              <w:spacing w:after="0"/>
              <w:jc w:val="both"/>
              <w:rPr>
                <w:rFonts w:ascii="Arial" w:eastAsia="宋体" w:hAnsi="Arial" w:cs="Arial"/>
                <w:color w:val="333333"/>
                <w:sz w:val="21"/>
                <w:szCs w:val="21"/>
                <w:shd w:val="clear" w:color="auto" w:fill="FFFFFF"/>
              </w:rPr>
            </w:pPr>
            <w:r>
              <w:rPr>
                <w:rFonts w:ascii="宋体" w:eastAsia="宋体" w:hAnsi="宋体" w:cs="Times New Roman" w:hint="eastAsia"/>
                <w:kern w:val="2"/>
                <w:sz w:val="21"/>
              </w:rPr>
              <w:t>DW001</w:t>
            </w:r>
            <w:r>
              <w:rPr>
                <w:rFonts w:ascii="Arial" w:eastAsia="宋体" w:hAnsi="Arial" w:cs="Arial"/>
                <w:color w:val="333333"/>
                <w:sz w:val="21"/>
                <w:szCs w:val="21"/>
                <w:shd w:val="clear" w:color="auto" w:fill="FFFFFF"/>
              </w:rPr>
              <w:t>屠宰废水排放口</w:t>
            </w:r>
          </w:p>
        </w:tc>
        <w:tc>
          <w:tcPr>
            <w:tcW w:w="818" w:type="dxa"/>
            <w:tcMar>
              <w:left w:w="57" w:type="dxa"/>
              <w:right w:w="57" w:type="dxa"/>
            </w:tcMar>
            <w:vAlign w:val="center"/>
          </w:tcPr>
          <w:p w:rsidR="001F5F12" w:rsidRDefault="001F5F12" w:rsidP="001F5F12">
            <w:pPr>
              <w:pStyle w:val="a3"/>
              <w:spacing w:after="0"/>
              <w:jc w:val="right"/>
              <w:rPr>
                <w:rFonts w:ascii="Arial" w:eastAsia="宋体" w:hAnsi="Arial" w:cs="Arial"/>
                <w:color w:val="333333"/>
                <w:sz w:val="21"/>
                <w:szCs w:val="21"/>
                <w:shd w:val="clear" w:color="auto" w:fill="FFFFFF"/>
              </w:rPr>
            </w:pPr>
            <w:r>
              <w:rPr>
                <w:rFonts w:ascii="Arial" w:eastAsia="宋体" w:hAnsi="Arial" w:cs="Arial"/>
                <w:color w:val="333333"/>
                <w:sz w:val="21"/>
                <w:szCs w:val="21"/>
                <w:shd w:val="clear" w:color="auto" w:fill="FFFFFF"/>
              </w:rPr>
              <w:t>化学需氧量</w:t>
            </w:r>
          </w:p>
        </w:tc>
        <w:tc>
          <w:tcPr>
            <w:tcW w:w="1176" w:type="dxa"/>
            <w:tcMar>
              <w:left w:w="57" w:type="dxa"/>
              <w:right w:w="57" w:type="dxa"/>
            </w:tcMar>
            <w:vAlign w:val="center"/>
          </w:tcPr>
          <w:p w:rsidR="001F5F12" w:rsidRDefault="001F5F12" w:rsidP="00F8235A">
            <w:pPr>
              <w:pStyle w:val="a3"/>
              <w:spacing w:after="0"/>
              <w:ind w:firstLineChars="0" w:firstLine="0"/>
              <w:jc w:val="both"/>
              <w:rPr>
                <w:rFonts w:ascii="宋体" w:hAnsi="宋体" w:cs="宋体"/>
                <w:sz w:val="21"/>
                <w:szCs w:val="21"/>
              </w:rPr>
            </w:pPr>
            <w:r>
              <w:rPr>
                <w:rFonts w:ascii="宋体" w:hAnsi="宋体" w:cs="Times New Roman" w:hint="eastAsia"/>
                <w:kern w:val="2"/>
                <w:sz w:val="21"/>
              </w:rPr>
              <w:t>手工</w:t>
            </w:r>
            <w:r>
              <w:rPr>
                <w:rFonts w:ascii="宋体" w:eastAsia="宋体" w:hAnsi="宋体" w:cs="Times New Roman" w:hint="eastAsia"/>
                <w:kern w:val="2"/>
                <w:sz w:val="21"/>
              </w:rPr>
              <w:t>监测</w:t>
            </w:r>
          </w:p>
        </w:tc>
        <w:tc>
          <w:tcPr>
            <w:tcW w:w="936"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1次/</w:t>
            </w:r>
            <w:r>
              <w:rPr>
                <w:rFonts w:ascii="宋体" w:hAnsi="宋体" w:cs="Times New Roman" w:hint="eastAsia"/>
                <w:kern w:val="2"/>
                <w:sz w:val="21"/>
              </w:rPr>
              <w:t>半年</w:t>
            </w:r>
          </w:p>
        </w:tc>
        <w:tc>
          <w:tcPr>
            <w:tcW w:w="1763"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水质 化学需氧量的测定 快速消解分光光度法 HJ/T 399-2007</w:t>
            </w:r>
          </w:p>
        </w:tc>
        <w:tc>
          <w:tcPr>
            <w:tcW w:w="1321" w:type="dxa"/>
            <w:vAlign w:val="center"/>
          </w:tcPr>
          <w:p w:rsidR="001F5F12" w:rsidRDefault="001F5F12" w:rsidP="00F8235A">
            <w:pPr>
              <w:spacing w:after="0"/>
              <w:jc w:val="both"/>
              <w:rPr>
                <w:rFonts w:ascii="宋体" w:eastAsia="宋体" w:hAnsi="宋体" w:cs="Times New Roman"/>
                <w:kern w:val="2"/>
                <w:sz w:val="21"/>
              </w:rPr>
            </w:pPr>
            <w:r>
              <w:rPr>
                <w:rFonts w:ascii="宋体" w:eastAsia="宋体" w:hAnsi="宋体" w:cs="Times New Roman" w:hint="eastAsia"/>
                <w:kern w:val="2"/>
                <w:sz w:val="21"/>
              </w:rPr>
              <w:t>《</w:t>
            </w:r>
            <w:r>
              <w:rPr>
                <w:rFonts w:ascii="Arial" w:eastAsia="宋体" w:hAnsi="Arial" w:cs="Arial"/>
                <w:color w:val="333333"/>
                <w:sz w:val="21"/>
                <w:szCs w:val="21"/>
                <w:shd w:val="clear" w:color="auto" w:fill="FFFFFF"/>
              </w:rPr>
              <w:t>肉类加工工业水污染物排</w:t>
            </w:r>
            <w:r>
              <w:rPr>
                <w:rFonts w:ascii="宋体" w:eastAsia="宋体" w:hAnsi="宋体" w:cs="宋体" w:hint="eastAsia"/>
                <w:color w:val="333333"/>
                <w:sz w:val="21"/>
                <w:szCs w:val="21"/>
                <w:shd w:val="clear" w:color="auto" w:fill="FFFFFF"/>
              </w:rPr>
              <w:t>放标准》GB 13457-92</w:t>
            </w:r>
          </w:p>
        </w:tc>
        <w:tc>
          <w:tcPr>
            <w:tcW w:w="1124" w:type="dxa"/>
            <w:tcMar>
              <w:left w:w="57" w:type="dxa"/>
              <w:right w:w="57" w:type="dxa"/>
            </w:tcMar>
            <w:vAlign w:val="center"/>
          </w:tcPr>
          <w:p w:rsidR="001F5F12" w:rsidRDefault="001F5F12" w:rsidP="00F8235A">
            <w:pPr>
              <w:spacing w:after="0"/>
              <w:jc w:val="both"/>
              <w:rPr>
                <w:rFonts w:ascii="宋体" w:hAnsi="宋体" w:cs="Times New Roman"/>
                <w:kern w:val="2"/>
                <w:sz w:val="21"/>
              </w:rPr>
            </w:pPr>
            <w:r>
              <w:rPr>
                <w:rFonts w:ascii="Arial" w:eastAsia="宋体" w:hAnsi="Arial" w:cs="Arial"/>
                <w:color w:val="333333"/>
                <w:sz w:val="21"/>
                <w:szCs w:val="21"/>
                <w:shd w:val="clear" w:color="auto" w:fill="FFFFFF"/>
              </w:rPr>
              <w:t>500 mg/L</w:t>
            </w:r>
          </w:p>
        </w:tc>
      </w:tr>
      <w:tr w:rsidR="001F5F12" w:rsidTr="00623132">
        <w:trPr>
          <w:trHeight w:val="397"/>
          <w:jc w:val="center"/>
        </w:trPr>
        <w:tc>
          <w:tcPr>
            <w:tcW w:w="1317" w:type="dxa"/>
            <w:tcMar>
              <w:left w:w="57" w:type="dxa"/>
              <w:right w:w="57" w:type="dxa"/>
            </w:tcMar>
            <w:vAlign w:val="center"/>
          </w:tcPr>
          <w:p w:rsidR="001F5F12" w:rsidRDefault="001F5F12" w:rsidP="00F8235A">
            <w:pPr>
              <w:spacing w:after="0"/>
              <w:jc w:val="both"/>
              <w:rPr>
                <w:rFonts w:ascii="Arial" w:eastAsia="宋体" w:hAnsi="Arial" w:cs="Arial"/>
                <w:color w:val="333333"/>
                <w:sz w:val="21"/>
                <w:szCs w:val="21"/>
                <w:shd w:val="clear" w:color="auto" w:fill="FFFFFF"/>
              </w:rPr>
            </w:pPr>
            <w:r>
              <w:rPr>
                <w:rFonts w:ascii="宋体" w:eastAsia="宋体" w:hAnsi="宋体" w:cs="Times New Roman" w:hint="eastAsia"/>
                <w:kern w:val="2"/>
                <w:sz w:val="21"/>
              </w:rPr>
              <w:t>DW001</w:t>
            </w:r>
            <w:r>
              <w:rPr>
                <w:rFonts w:ascii="Arial" w:eastAsia="宋体" w:hAnsi="Arial" w:cs="Arial"/>
                <w:color w:val="333333"/>
                <w:sz w:val="21"/>
                <w:szCs w:val="21"/>
                <w:shd w:val="clear" w:color="auto" w:fill="FFFFFF"/>
              </w:rPr>
              <w:t>屠宰废水排放口</w:t>
            </w:r>
          </w:p>
        </w:tc>
        <w:tc>
          <w:tcPr>
            <w:tcW w:w="818" w:type="dxa"/>
            <w:tcMar>
              <w:left w:w="57" w:type="dxa"/>
              <w:right w:w="57" w:type="dxa"/>
            </w:tcMar>
            <w:vAlign w:val="center"/>
          </w:tcPr>
          <w:p w:rsidR="001F5F12" w:rsidRDefault="001F5F12" w:rsidP="00F8235A">
            <w:pPr>
              <w:pStyle w:val="a3"/>
              <w:spacing w:after="0"/>
              <w:jc w:val="center"/>
              <w:rPr>
                <w:rFonts w:ascii="Arial" w:eastAsia="宋体" w:hAnsi="Arial" w:cs="Arial"/>
                <w:color w:val="333333"/>
                <w:sz w:val="21"/>
                <w:szCs w:val="21"/>
                <w:shd w:val="clear" w:color="auto" w:fill="FFFFFF"/>
              </w:rPr>
            </w:pPr>
            <w:r>
              <w:rPr>
                <w:rFonts w:ascii="Arial" w:eastAsia="宋体" w:hAnsi="Arial" w:cs="Arial"/>
                <w:color w:val="333333"/>
                <w:sz w:val="21"/>
                <w:szCs w:val="21"/>
                <w:shd w:val="clear" w:color="auto" w:fill="FFFFFF"/>
              </w:rPr>
              <w:t>氨氮（</w:t>
            </w:r>
            <w:r>
              <w:rPr>
                <w:rFonts w:ascii="Arial" w:eastAsia="宋体" w:hAnsi="Arial" w:cs="Arial"/>
                <w:color w:val="333333"/>
                <w:sz w:val="21"/>
                <w:szCs w:val="21"/>
                <w:shd w:val="clear" w:color="auto" w:fill="FFFFFF"/>
              </w:rPr>
              <w:t>NH3-N</w:t>
            </w:r>
            <w:r>
              <w:rPr>
                <w:rFonts w:ascii="Arial" w:eastAsia="宋体" w:hAnsi="Arial" w:cs="Arial"/>
                <w:color w:val="333333"/>
                <w:sz w:val="21"/>
                <w:szCs w:val="21"/>
                <w:shd w:val="clear" w:color="auto" w:fill="FFFFFF"/>
              </w:rPr>
              <w:t>）</w:t>
            </w:r>
          </w:p>
        </w:tc>
        <w:tc>
          <w:tcPr>
            <w:tcW w:w="1176" w:type="dxa"/>
            <w:tcMar>
              <w:left w:w="57" w:type="dxa"/>
              <w:right w:w="57" w:type="dxa"/>
            </w:tcMar>
            <w:vAlign w:val="center"/>
          </w:tcPr>
          <w:p w:rsidR="001F5F12" w:rsidRDefault="001F5F12" w:rsidP="00F8235A">
            <w:pPr>
              <w:pStyle w:val="a3"/>
              <w:spacing w:after="0"/>
              <w:ind w:firstLineChars="0" w:firstLine="0"/>
              <w:jc w:val="both"/>
              <w:rPr>
                <w:rFonts w:ascii="宋体" w:hAnsi="宋体" w:cs="宋体"/>
                <w:sz w:val="21"/>
                <w:szCs w:val="21"/>
              </w:rPr>
            </w:pPr>
            <w:r>
              <w:rPr>
                <w:rFonts w:ascii="宋体" w:hAnsi="宋体" w:cs="Times New Roman" w:hint="eastAsia"/>
                <w:kern w:val="2"/>
                <w:sz w:val="21"/>
              </w:rPr>
              <w:t>手工</w:t>
            </w:r>
            <w:r>
              <w:rPr>
                <w:rFonts w:ascii="宋体" w:eastAsia="宋体" w:hAnsi="宋体" w:cs="Times New Roman" w:hint="eastAsia"/>
                <w:kern w:val="2"/>
                <w:sz w:val="21"/>
              </w:rPr>
              <w:t>监测</w:t>
            </w:r>
          </w:p>
        </w:tc>
        <w:tc>
          <w:tcPr>
            <w:tcW w:w="936"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1次/</w:t>
            </w:r>
            <w:r>
              <w:rPr>
                <w:rFonts w:ascii="宋体" w:hAnsi="宋体" w:cs="Times New Roman" w:hint="eastAsia"/>
                <w:kern w:val="2"/>
                <w:sz w:val="21"/>
              </w:rPr>
              <w:t>半年</w:t>
            </w:r>
          </w:p>
        </w:tc>
        <w:tc>
          <w:tcPr>
            <w:tcW w:w="1763"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水质 氨氮的测定 流动注射-水杨酸分光光度法HJ 666-2013</w:t>
            </w:r>
          </w:p>
        </w:tc>
        <w:tc>
          <w:tcPr>
            <w:tcW w:w="1321" w:type="dxa"/>
            <w:vAlign w:val="center"/>
          </w:tcPr>
          <w:p w:rsidR="001F5F12" w:rsidRDefault="001F5F12" w:rsidP="00F8235A">
            <w:pPr>
              <w:spacing w:after="0"/>
              <w:jc w:val="both"/>
              <w:rPr>
                <w:rFonts w:ascii="宋体" w:eastAsia="宋体" w:hAnsi="宋体" w:cs="Times New Roman"/>
                <w:kern w:val="2"/>
                <w:sz w:val="21"/>
              </w:rPr>
            </w:pPr>
            <w:r>
              <w:rPr>
                <w:rFonts w:ascii="宋体" w:eastAsia="宋体" w:hAnsi="宋体" w:cs="Times New Roman" w:hint="eastAsia"/>
                <w:kern w:val="2"/>
                <w:sz w:val="21"/>
              </w:rPr>
              <w:t>《</w:t>
            </w:r>
            <w:r>
              <w:rPr>
                <w:rFonts w:ascii="Arial" w:eastAsia="宋体" w:hAnsi="Arial" w:cs="Arial"/>
                <w:color w:val="333333"/>
                <w:sz w:val="21"/>
                <w:szCs w:val="21"/>
                <w:shd w:val="clear" w:color="auto" w:fill="FFFFFF"/>
              </w:rPr>
              <w:t>肉类加工工业水污染物排</w:t>
            </w:r>
            <w:r>
              <w:rPr>
                <w:rFonts w:ascii="宋体" w:eastAsia="宋体" w:hAnsi="宋体" w:cs="宋体" w:hint="eastAsia"/>
                <w:color w:val="333333"/>
                <w:sz w:val="21"/>
                <w:szCs w:val="21"/>
                <w:shd w:val="clear" w:color="auto" w:fill="FFFFFF"/>
              </w:rPr>
              <w:t>放标准》GB 13457-92</w:t>
            </w:r>
          </w:p>
        </w:tc>
        <w:tc>
          <w:tcPr>
            <w:tcW w:w="1124" w:type="dxa"/>
            <w:tcMar>
              <w:left w:w="57" w:type="dxa"/>
              <w:right w:w="57" w:type="dxa"/>
            </w:tcMar>
            <w:vAlign w:val="center"/>
          </w:tcPr>
          <w:p w:rsidR="001F5F12" w:rsidRDefault="001F5F12" w:rsidP="00F8235A">
            <w:pPr>
              <w:spacing w:after="0"/>
              <w:jc w:val="both"/>
              <w:rPr>
                <w:rFonts w:ascii="宋体" w:hAnsi="宋体" w:cs="Times New Roman"/>
                <w:kern w:val="2"/>
                <w:sz w:val="21"/>
              </w:rPr>
            </w:pPr>
            <w:r>
              <w:rPr>
                <w:rFonts w:ascii="Arial" w:eastAsia="宋体" w:hAnsi="Arial" w:cs="Arial"/>
                <w:color w:val="333333"/>
                <w:sz w:val="21"/>
                <w:szCs w:val="21"/>
                <w:shd w:val="clear" w:color="auto" w:fill="FFFFFF"/>
              </w:rPr>
              <w:t>/ mg/L</w:t>
            </w:r>
          </w:p>
        </w:tc>
      </w:tr>
      <w:tr w:rsidR="001F5F12" w:rsidTr="00623132">
        <w:trPr>
          <w:trHeight w:val="397"/>
          <w:jc w:val="center"/>
        </w:trPr>
        <w:tc>
          <w:tcPr>
            <w:tcW w:w="1317" w:type="dxa"/>
            <w:tcMar>
              <w:left w:w="57" w:type="dxa"/>
              <w:right w:w="57" w:type="dxa"/>
            </w:tcMar>
            <w:vAlign w:val="center"/>
          </w:tcPr>
          <w:p w:rsidR="001F5F12" w:rsidRDefault="001F5F12" w:rsidP="00F8235A">
            <w:pPr>
              <w:spacing w:after="0"/>
              <w:jc w:val="both"/>
              <w:rPr>
                <w:rFonts w:ascii="Arial" w:eastAsia="宋体" w:hAnsi="Arial" w:cs="Arial"/>
                <w:color w:val="333333"/>
                <w:sz w:val="21"/>
                <w:szCs w:val="21"/>
                <w:shd w:val="clear" w:color="auto" w:fill="FFFFFF"/>
              </w:rPr>
            </w:pPr>
            <w:r>
              <w:rPr>
                <w:rFonts w:ascii="宋体" w:eastAsia="宋体" w:hAnsi="宋体" w:cs="Times New Roman" w:hint="eastAsia"/>
                <w:kern w:val="2"/>
                <w:sz w:val="21"/>
              </w:rPr>
              <w:t>DW001</w:t>
            </w:r>
            <w:r>
              <w:rPr>
                <w:rFonts w:ascii="Arial" w:eastAsia="宋体" w:hAnsi="Arial" w:cs="Arial"/>
                <w:color w:val="333333"/>
                <w:sz w:val="21"/>
                <w:szCs w:val="21"/>
                <w:shd w:val="clear" w:color="auto" w:fill="FFFFFF"/>
              </w:rPr>
              <w:t>屠宰废水排放口</w:t>
            </w:r>
          </w:p>
        </w:tc>
        <w:tc>
          <w:tcPr>
            <w:tcW w:w="818" w:type="dxa"/>
            <w:tcMar>
              <w:left w:w="57" w:type="dxa"/>
              <w:right w:w="57" w:type="dxa"/>
            </w:tcMar>
            <w:vAlign w:val="center"/>
          </w:tcPr>
          <w:p w:rsidR="001F5F12" w:rsidRDefault="001F5F12" w:rsidP="001F5F12">
            <w:pPr>
              <w:pStyle w:val="a3"/>
              <w:spacing w:after="0"/>
              <w:rPr>
                <w:rFonts w:ascii="Arial" w:eastAsia="宋体" w:hAnsi="Arial" w:cs="Arial"/>
                <w:color w:val="333333"/>
                <w:sz w:val="21"/>
                <w:szCs w:val="21"/>
                <w:shd w:val="clear" w:color="auto" w:fill="FFFFFF"/>
              </w:rPr>
            </w:pPr>
            <w:r>
              <w:rPr>
                <w:rFonts w:ascii="Arial" w:eastAsia="宋体" w:hAnsi="Arial" w:cs="Arial"/>
                <w:color w:val="333333"/>
                <w:sz w:val="21"/>
                <w:szCs w:val="21"/>
                <w:shd w:val="clear" w:color="auto" w:fill="FFFFFF"/>
              </w:rPr>
              <w:t>动植物油</w:t>
            </w:r>
          </w:p>
        </w:tc>
        <w:tc>
          <w:tcPr>
            <w:tcW w:w="1176" w:type="dxa"/>
            <w:tcMar>
              <w:left w:w="57" w:type="dxa"/>
              <w:right w:w="57" w:type="dxa"/>
            </w:tcMar>
            <w:vAlign w:val="center"/>
          </w:tcPr>
          <w:p w:rsidR="001F5F12" w:rsidRDefault="001F5F12" w:rsidP="00F8235A">
            <w:pPr>
              <w:pStyle w:val="a3"/>
              <w:spacing w:after="0"/>
              <w:ind w:firstLineChars="0" w:firstLine="0"/>
              <w:jc w:val="both"/>
              <w:rPr>
                <w:rFonts w:ascii="宋体" w:hAnsi="宋体" w:cs="宋体"/>
                <w:sz w:val="21"/>
                <w:szCs w:val="21"/>
              </w:rPr>
            </w:pPr>
            <w:r>
              <w:rPr>
                <w:rFonts w:ascii="宋体" w:hAnsi="宋体" w:cs="Times New Roman" w:hint="eastAsia"/>
                <w:kern w:val="2"/>
                <w:sz w:val="21"/>
              </w:rPr>
              <w:t>手工</w:t>
            </w:r>
            <w:r>
              <w:rPr>
                <w:rFonts w:ascii="宋体" w:eastAsia="宋体" w:hAnsi="宋体" w:cs="Times New Roman" w:hint="eastAsia"/>
                <w:kern w:val="2"/>
                <w:sz w:val="21"/>
              </w:rPr>
              <w:t>监测</w:t>
            </w:r>
          </w:p>
        </w:tc>
        <w:tc>
          <w:tcPr>
            <w:tcW w:w="936"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1次/</w:t>
            </w:r>
            <w:r>
              <w:rPr>
                <w:rFonts w:ascii="宋体" w:hAnsi="宋体" w:cs="Times New Roman" w:hint="eastAsia"/>
                <w:kern w:val="2"/>
                <w:sz w:val="21"/>
              </w:rPr>
              <w:t>半年</w:t>
            </w:r>
          </w:p>
        </w:tc>
        <w:tc>
          <w:tcPr>
            <w:tcW w:w="1763"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水质 石油类和动植物油类的测定 红外分光光度法HJ 637-2012代替GB/T 16488-1996</w:t>
            </w:r>
          </w:p>
        </w:tc>
        <w:tc>
          <w:tcPr>
            <w:tcW w:w="1321" w:type="dxa"/>
            <w:vAlign w:val="center"/>
          </w:tcPr>
          <w:p w:rsidR="001F5F12" w:rsidRDefault="001F5F12" w:rsidP="00F8235A">
            <w:pPr>
              <w:spacing w:after="0"/>
              <w:jc w:val="both"/>
              <w:rPr>
                <w:rFonts w:ascii="宋体" w:eastAsia="宋体" w:hAnsi="宋体" w:cs="Times New Roman"/>
                <w:kern w:val="2"/>
                <w:sz w:val="21"/>
              </w:rPr>
            </w:pPr>
            <w:r>
              <w:rPr>
                <w:rFonts w:ascii="宋体" w:eastAsia="宋体" w:hAnsi="宋体" w:cs="Times New Roman" w:hint="eastAsia"/>
                <w:kern w:val="2"/>
                <w:sz w:val="21"/>
              </w:rPr>
              <w:t>《</w:t>
            </w:r>
            <w:r>
              <w:rPr>
                <w:rFonts w:ascii="Arial" w:eastAsia="宋体" w:hAnsi="Arial" w:cs="Arial"/>
                <w:color w:val="333333"/>
                <w:sz w:val="21"/>
                <w:szCs w:val="21"/>
                <w:shd w:val="clear" w:color="auto" w:fill="FFFFFF"/>
              </w:rPr>
              <w:t>肉类加工工业水污染物排</w:t>
            </w:r>
            <w:r>
              <w:rPr>
                <w:rFonts w:ascii="宋体" w:eastAsia="宋体" w:hAnsi="宋体" w:cs="宋体" w:hint="eastAsia"/>
                <w:color w:val="333333"/>
                <w:sz w:val="21"/>
                <w:szCs w:val="21"/>
                <w:shd w:val="clear" w:color="auto" w:fill="FFFFFF"/>
              </w:rPr>
              <w:t>放标准》GB 13457-92</w:t>
            </w:r>
          </w:p>
        </w:tc>
        <w:tc>
          <w:tcPr>
            <w:tcW w:w="1124" w:type="dxa"/>
            <w:tcMar>
              <w:left w:w="57" w:type="dxa"/>
              <w:right w:w="57" w:type="dxa"/>
            </w:tcMar>
            <w:vAlign w:val="center"/>
          </w:tcPr>
          <w:p w:rsidR="001F5F12" w:rsidRDefault="001F5F12" w:rsidP="00F8235A">
            <w:pPr>
              <w:spacing w:after="0"/>
              <w:jc w:val="both"/>
              <w:rPr>
                <w:rFonts w:ascii="宋体" w:hAnsi="宋体" w:cs="Times New Roman"/>
                <w:kern w:val="2"/>
                <w:sz w:val="21"/>
              </w:rPr>
            </w:pPr>
            <w:r>
              <w:rPr>
                <w:rFonts w:ascii="Arial" w:eastAsia="宋体" w:hAnsi="Arial" w:cs="Arial"/>
                <w:color w:val="333333"/>
                <w:sz w:val="21"/>
                <w:szCs w:val="21"/>
                <w:shd w:val="clear" w:color="auto" w:fill="FFFFFF"/>
              </w:rPr>
              <w:t>60 mg/L</w:t>
            </w:r>
          </w:p>
        </w:tc>
      </w:tr>
      <w:tr w:rsidR="001F5F12" w:rsidTr="00623132">
        <w:trPr>
          <w:trHeight w:val="397"/>
          <w:jc w:val="center"/>
        </w:trPr>
        <w:tc>
          <w:tcPr>
            <w:tcW w:w="1317" w:type="dxa"/>
            <w:tcMar>
              <w:left w:w="57" w:type="dxa"/>
              <w:right w:w="57" w:type="dxa"/>
            </w:tcMar>
            <w:vAlign w:val="center"/>
          </w:tcPr>
          <w:p w:rsidR="001F5F12" w:rsidRDefault="001F5F12" w:rsidP="00F8235A">
            <w:pPr>
              <w:spacing w:after="0"/>
              <w:jc w:val="both"/>
              <w:rPr>
                <w:rFonts w:ascii="Arial" w:eastAsia="宋体" w:hAnsi="Arial" w:cs="Arial"/>
                <w:color w:val="333333"/>
                <w:sz w:val="21"/>
                <w:szCs w:val="21"/>
                <w:shd w:val="clear" w:color="auto" w:fill="FFFFFF"/>
              </w:rPr>
            </w:pPr>
            <w:r>
              <w:rPr>
                <w:rFonts w:ascii="宋体" w:eastAsia="宋体" w:hAnsi="宋体" w:cs="Times New Roman" w:hint="eastAsia"/>
                <w:kern w:val="2"/>
                <w:sz w:val="21"/>
              </w:rPr>
              <w:t>DW001</w:t>
            </w:r>
            <w:r>
              <w:rPr>
                <w:rFonts w:ascii="Arial" w:eastAsia="宋体" w:hAnsi="Arial" w:cs="Arial"/>
                <w:color w:val="333333"/>
                <w:sz w:val="21"/>
                <w:szCs w:val="21"/>
                <w:shd w:val="clear" w:color="auto" w:fill="FFFFFF"/>
              </w:rPr>
              <w:t>屠宰废水排放口</w:t>
            </w:r>
          </w:p>
        </w:tc>
        <w:tc>
          <w:tcPr>
            <w:tcW w:w="818" w:type="dxa"/>
            <w:tcMar>
              <w:left w:w="57" w:type="dxa"/>
              <w:right w:w="57" w:type="dxa"/>
            </w:tcMar>
            <w:vAlign w:val="center"/>
          </w:tcPr>
          <w:p w:rsidR="001F5F12" w:rsidRDefault="001F5F12" w:rsidP="001F5F12">
            <w:pPr>
              <w:pStyle w:val="a3"/>
              <w:spacing w:after="0"/>
              <w:rPr>
                <w:rFonts w:ascii="Arial" w:eastAsia="宋体" w:hAnsi="Arial" w:cs="Arial"/>
                <w:color w:val="333333"/>
                <w:sz w:val="21"/>
                <w:szCs w:val="21"/>
                <w:shd w:val="clear" w:color="auto" w:fill="FFFFFF"/>
              </w:rPr>
            </w:pPr>
            <w:r>
              <w:rPr>
                <w:rFonts w:ascii="Arial" w:eastAsia="宋体" w:hAnsi="Arial" w:cs="Arial"/>
                <w:color w:val="333333"/>
                <w:sz w:val="21"/>
                <w:szCs w:val="21"/>
                <w:shd w:val="clear" w:color="auto" w:fill="FFFFFF"/>
              </w:rPr>
              <w:t>总大肠菌群</w:t>
            </w:r>
          </w:p>
        </w:tc>
        <w:tc>
          <w:tcPr>
            <w:tcW w:w="1176" w:type="dxa"/>
            <w:tcMar>
              <w:left w:w="57" w:type="dxa"/>
              <w:right w:w="57" w:type="dxa"/>
            </w:tcMar>
            <w:vAlign w:val="center"/>
          </w:tcPr>
          <w:p w:rsidR="001F5F12" w:rsidRDefault="001F5F12" w:rsidP="00F8235A">
            <w:pPr>
              <w:pStyle w:val="a3"/>
              <w:spacing w:after="0"/>
              <w:ind w:firstLineChars="0" w:firstLine="0"/>
              <w:jc w:val="both"/>
              <w:rPr>
                <w:rFonts w:ascii="宋体" w:hAnsi="宋体" w:cs="宋体"/>
                <w:sz w:val="21"/>
                <w:szCs w:val="21"/>
              </w:rPr>
            </w:pPr>
            <w:r>
              <w:rPr>
                <w:rFonts w:ascii="宋体" w:hAnsi="宋体" w:cs="Times New Roman" w:hint="eastAsia"/>
                <w:kern w:val="2"/>
                <w:sz w:val="21"/>
              </w:rPr>
              <w:t>手工</w:t>
            </w:r>
            <w:r>
              <w:rPr>
                <w:rFonts w:ascii="宋体" w:eastAsia="宋体" w:hAnsi="宋体" w:cs="Times New Roman" w:hint="eastAsia"/>
                <w:kern w:val="2"/>
                <w:sz w:val="21"/>
              </w:rPr>
              <w:t>监测</w:t>
            </w:r>
          </w:p>
        </w:tc>
        <w:tc>
          <w:tcPr>
            <w:tcW w:w="936"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1次/</w:t>
            </w:r>
            <w:r>
              <w:rPr>
                <w:rFonts w:ascii="宋体" w:hAnsi="宋体" w:cs="Times New Roman" w:hint="eastAsia"/>
                <w:kern w:val="2"/>
                <w:sz w:val="21"/>
              </w:rPr>
              <w:t>半年</w:t>
            </w:r>
          </w:p>
        </w:tc>
        <w:tc>
          <w:tcPr>
            <w:tcW w:w="1763"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发酵法</w:t>
            </w:r>
          </w:p>
        </w:tc>
        <w:tc>
          <w:tcPr>
            <w:tcW w:w="1321" w:type="dxa"/>
            <w:vAlign w:val="center"/>
          </w:tcPr>
          <w:p w:rsidR="001F5F12" w:rsidRDefault="001F5F12" w:rsidP="00F8235A">
            <w:pPr>
              <w:spacing w:after="0"/>
              <w:jc w:val="both"/>
              <w:rPr>
                <w:rFonts w:ascii="宋体" w:eastAsia="宋体" w:hAnsi="宋体" w:cs="Times New Roman"/>
                <w:kern w:val="2"/>
                <w:sz w:val="21"/>
              </w:rPr>
            </w:pPr>
            <w:r>
              <w:rPr>
                <w:rFonts w:ascii="宋体" w:eastAsia="宋体" w:hAnsi="宋体" w:cs="Times New Roman" w:hint="eastAsia"/>
                <w:kern w:val="2"/>
                <w:sz w:val="21"/>
              </w:rPr>
              <w:t>《</w:t>
            </w:r>
            <w:r>
              <w:rPr>
                <w:rFonts w:ascii="Arial" w:eastAsia="宋体" w:hAnsi="Arial" w:cs="Arial"/>
                <w:color w:val="333333"/>
                <w:sz w:val="21"/>
                <w:szCs w:val="21"/>
                <w:shd w:val="clear" w:color="auto" w:fill="FFFFFF"/>
              </w:rPr>
              <w:t>肉类加工工业水污染物排</w:t>
            </w:r>
            <w:r>
              <w:rPr>
                <w:rFonts w:ascii="宋体" w:eastAsia="宋体" w:hAnsi="宋体" w:cs="宋体" w:hint="eastAsia"/>
                <w:color w:val="333333"/>
                <w:sz w:val="21"/>
                <w:szCs w:val="21"/>
                <w:shd w:val="clear" w:color="auto" w:fill="FFFFFF"/>
              </w:rPr>
              <w:t>放标</w:t>
            </w:r>
            <w:r>
              <w:rPr>
                <w:rFonts w:ascii="宋体" w:eastAsia="宋体" w:hAnsi="宋体" w:cs="宋体" w:hint="eastAsia"/>
                <w:color w:val="333333"/>
                <w:sz w:val="21"/>
                <w:szCs w:val="21"/>
                <w:shd w:val="clear" w:color="auto" w:fill="FFFFFF"/>
              </w:rPr>
              <w:lastRenderedPageBreak/>
              <w:t>准》GB 13457-92</w:t>
            </w:r>
          </w:p>
        </w:tc>
        <w:tc>
          <w:tcPr>
            <w:tcW w:w="1124" w:type="dxa"/>
            <w:tcMar>
              <w:left w:w="57" w:type="dxa"/>
              <w:right w:w="57" w:type="dxa"/>
            </w:tcMar>
            <w:vAlign w:val="center"/>
          </w:tcPr>
          <w:p w:rsidR="001F5F12" w:rsidRDefault="001F5F12" w:rsidP="00F8235A">
            <w:pPr>
              <w:spacing w:after="0"/>
              <w:jc w:val="both"/>
              <w:rPr>
                <w:rFonts w:ascii="宋体" w:hAnsi="宋体" w:cs="Times New Roman"/>
                <w:kern w:val="2"/>
                <w:sz w:val="21"/>
              </w:rPr>
            </w:pPr>
            <w:r>
              <w:rPr>
                <w:rFonts w:ascii="Arial" w:eastAsia="宋体" w:hAnsi="Arial" w:cs="Arial"/>
                <w:color w:val="333333"/>
                <w:sz w:val="21"/>
                <w:szCs w:val="21"/>
                <w:shd w:val="clear" w:color="auto" w:fill="FFFFFF"/>
              </w:rPr>
              <w:lastRenderedPageBreak/>
              <w:t>/ </w:t>
            </w:r>
            <w:r>
              <w:rPr>
                <w:rFonts w:ascii="Arial" w:eastAsia="宋体" w:hAnsi="Arial" w:cs="Arial"/>
                <w:color w:val="333333"/>
                <w:sz w:val="21"/>
                <w:szCs w:val="21"/>
                <w:shd w:val="clear" w:color="auto" w:fill="FFFFFF"/>
              </w:rPr>
              <w:t>个</w:t>
            </w:r>
            <w:r>
              <w:rPr>
                <w:rFonts w:ascii="Arial" w:eastAsia="宋体" w:hAnsi="Arial" w:cs="Arial"/>
                <w:color w:val="333333"/>
                <w:sz w:val="21"/>
                <w:szCs w:val="21"/>
                <w:shd w:val="clear" w:color="auto" w:fill="FFFFFF"/>
              </w:rPr>
              <w:t>/L</w:t>
            </w:r>
          </w:p>
        </w:tc>
      </w:tr>
      <w:tr w:rsidR="001F5F12" w:rsidTr="00623132">
        <w:trPr>
          <w:trHeight w:val="397"/>
          <w:jc w:val="center"/>
        </w:trPr>
        <w:tc>
          <w:tcPr>
            <w:tcW w:w="1317" w:type="dxa"/>
            <w:tcMar>
              <w:left w:w="57" w:type="dxa"/>
              <w:right w:w="57" w:type="dxa"/>
            </w:tcMar>
            <w:vAlign w:val="center"/>
          </w:tcPr>
          <w:p w:rsidR="001F5F12" w:rsidRDefault="001F5F12" w:rsidP="00F8235A">
            <w:pPr>
              <w:spacing w:after="0"/>
              <w:jc w:val="both"/>
              <w:rPr>
                <w:rFonts w:ascii="Arial" w:eastAsia="宋体" w:hAnsi="Arial" w:cs="Arial"/>
                <w:color w:val="333333"/>
                <w:sz w:val="21"/>
                <w:szCs w:val="21"/>
                <w:shd w:val="clear" w:color="auto" w:fill="FFFFFF"/>
              </w:rPr>
            </w:pPr>
            <w:r>
              <w:rPr>
                <w:rFonts w:ascii="宋体" w:eastAsia="宋体" w:hAnsi="宋体" w:cs="Times New Roman" w:hint="eastAsia"/>
                <w:kern w:val="2"/>
                <w:sz w:val="21"/>
              </w:rPr>
              <w:lastRenderedPageBreak/>
              <w:t>DW001</w:t>
            </w:r>
            <w:r>
              <w:rPr>
                <w:rFonts w:ascii="Arial" w:eastAsia="宋体" w:hAnsi="Arial" w:cs="Arial"/>
                <w:color w:val="333333"/>
                <w:sz w:val="21"/>
                <w:szCs w:val="21"/>
                <w:shd w:val="clear" w:color="auto" w:fill="FFFFFF"/>
              </w:rPr>
              <w:t>屠宰废水排放口</w:t>
            </w:r>
          </w:p>
        </w:tc>
        <w:tc>
          <w:tcPr>
            <w:tcW w:w="818" w:type="dxa"/>
            <w:tcMar>
              <w:left w:w="57" w:type="dxa"/>
              <w:right w:w="57" w:type="dxa"/>
            </w:tcMar>
            <w:vAlign w:val="center"/>
          </w:tcPr>
          <w:p w:rsidR="001F5F12" w:rsidRDefault="001F5F12" w:rsidP="001F5F12">
            <w:pPr>
              <w:pStyle w:val="a3"/>
              <w:spacing w:after="0"/>
              <w:rPr>
                <w:rFonts w:ascii="Arial" w:eastAsia="宋体" w:hAnsi="Arial" w:cs="Arial"/>
                <w:color w:val="333333"/>
                <w:sz w:val="21"/>
                <w:szCs w:val="21"/>
                <w:shd w:val="clear" w:color="auto" w:fill="FFFFFF"/>
              </w:rPr>
            </w:pPr>
            <w:r>
              <w:rPr>
                <w:rFonts w:ascii="Arial" w:eastAsia="宋体" w:hAnsi="Arial" w:cs="Arial"/>
                <w:color w:val="333333"/>
                <w:sz w:val="21"/>
                <w:szCs w:val="21"/>
                <w:shd w:val="clear" w:color="auto" w:fill="FFFFFF"/>
              </w:rPr>
              <w:t>悬浮物</w:t>
            </w:r>
          </w:p>
        </w:tc>
        <w:tc>
          <w:tcPr>
            <w:tcW w:w="1176" w:type="dxa"/>
            <w:tcMar>
              <w:left w:w="57" w:type="dxa"/>
              <w:right w:w="57" w:type="dxa"/>
            </w:tcMar>
            <w:vAlign w:val="center"/>
          </w:tcPr>
          <w:p w:rsidR="001F5F12" w:rsidRDefault="001F5F12" w:rsidP="00F8235A">
            <w:pPr>
              <w:pStyle w:val="a3"/>
              <w:spacing w:after="0"/>
              <w:ind w:firstLineChars="0" w:firstLine="0"/>
              <w:jc w:val="both"/>
              <w:rPr>
                <w:rFonts w:ascii="宋体" w:hAnsi="宋体" w:cs="宋体"/>
                <w:sz w:val="21"/>
                <w:szCs w:val="21"/>
              </w:rPr>
            </w:pPr>
            <w:r>
              <w:rPr>
                <w:rFonts w:ascii="宋体" w:hAnsi="宋体" w:cs="Times New Roman" w:hint="eastAsia"/>
                <w:kern w:val="2"/>
                <w:sz w:val="21"/>
              </w:rPr>
              <w:t>手工</w:t>
            </w:r>
            <w:r>
              <w:rPr>
                <w:rFonts w:ascii="宋体" w:eastAsia="宋体" w:hAnsi="宋体" w:cs="Times New Roman" w:hint="eastAsia"/>
                <w:kern w:val="2"/>
                <w:sz w:val="21"/>
              </w:rPr>
              <w:t>监测</w:t>
            </w:r>
          </w:p>
        </w:tc>
        <w:tc>
          <w:tcPr>
            <w:tcW w:w="936"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1次/</w:t>
            </w:r>
            <w:r>
              <w:rPr>
                <w:rFonts w:ascii="宋体" w:hAnsi="宋体" w:cs="Times New Roman" w:hint="eastAsia"/>
                <w:kern w:val="2"/>
                <w:sz w:val="21"/>
              </w:rPr>
              <w:t>半年</w:t>
            </w:r>
          </w:p>
        </w:tc>
        <w:tc>
          <w:tcPr>
            <w:tcW w:w="1763"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水质 悬浮物的测定 重量法 GB 11901-1989</w:t>
            </w:r>
          </w:p>
        </w:tc>
        <w:tc>
          <w:tcPr>
            <w:tcW w:w="1321" w:type="dxa"/>
            <w:vAlign w:val="center"/>
          </w:tcPr>
          <w:p w:rsidR="001F5F12" w:rsidRDefault="001F5F12" w:rsidP="00F8235A">
            <w:pPr>
              <w:spacing w:after="0"/>
              <w:jc w:val="both"/>
              <w:rPr>
                <w:rFonts w:ascii="宋体" w:eastAsia="宋体" w:hAnsi="宋体" w:cs="Times New Roman"/>
                <w:kern w:val="2"/>
                <w:sz w:val="21"/>
              </w:rPr>
            </w:pPr>
            <w:r>
              <w:rPr>
                <w:rFonts w:ascii="宋体" w:eastAsia="宋体" w:hAnsi="宋体" w:cs="Times New Roman" w:hint="eastAsia"/>
                <w:kern w:val="2"/>
                <w:sz w:val="21"/>
              </w:rPr>
              <w:t>《</w:t>
            </w:r>
            <w:r>
              <w:rPr>
                <w:rFonts w:ascii="Arial" w:eastAsia="宋体" w:hAnsi="Arial" w:cs="Arial"/>
                <w:color w:val="333333"/>
                <w:sz w:val="21"/>
                <w:szCs w:val="21"/>
                <w:shd w:val="clear" w:color="auto" w:fill="FFFFFF"/>
              </w:rPr>
              <w:t>肉类加工工业水污染物排</w:t>
            </w:r>
            <w:r>
              <w:rPr>
                <w:rFonts w:ascii="宋体" w:eastAsia="宋体" w:hAnsi="宋体" w:cs="宋体" w:hint="eastAsia"/>
                <w:color w:val="333333"/>
                <w:sz w:val="21"/>
                <w:szCs w:val="21"/>
                <w:shd w:val="clear" w:color="auto" w:fill="FFFFFF"/>
              </w:rPr>
              <w:t>放标准》GB 13457-92</w:t>
            </w:r>
          </w:p>
        </w:tc>
        <w:tc>
          <w:tcPr>
            <w:tcW w:w="1124" w:type="dxa"/>
            <w:tcMar>
              <w:left w:w="57" w:type="dxa"/>
              <w:right w:w="57" w:type="dxa"/>
            </w:tcMar>
            <w:vAlign w:val="center"/>
          </w:tcPr>
          <w:p w:rsidR="001F5F12" w:rsidRDefault="001F5F12" w:rsidP="00F8235A">
            <w:pPr>
              <w:spacing w:after="0"/>
              <w:jc w:val="both"/>
              <w:rPr>
                <w:rFonts w:ascii="宋体" w:hAnsi="宋体" w:cs="Times New Roman"/>
                <w:kern w:val="2"/>
                <w:sz w:val="21"/>
              </w:rPr>
            </w:pPr>
            <w:r>
              <w:rPr>
                <w:rFonts w:ascii="Arial" w:eastAsia="宋体" w:hAnsi="Arial" w:cs="Arial"/>
                <w:color w:val="333333"/>
                <w:sz w:val="21"/>
                <w:szCs w:val="21"/>
                <w:shd w:val="clear" w:color="auto" w:fill="FFFFFF"/>
              </w:rPr>
              <w:t>400 mg/L</w:t>
            </w:r>
          </w:p>
        </w:tc>
      </w:tr>
      <w:tr w:rsidR="001F5F12" w:rsidTr="00623132">
        <w:trPr>
          <w:trHeight w:val="397"/>
          <w:jc w:val="center"/>
        </w:trPr>
        <w:tc>
          <w:tcPr>
            <w:tcW w:w="1317" w:type="dxa"/>
            <w:tcMar>
              <w:left w:w="57" w:type="dxa"/>
              <w:right w:w="57" w:type="dxa"/>
            </w:tcMar>
            <w:vAlign w:val="center"/>
          </w:tcPr>
          <w:p w:rsidR="001F5F12" w:rsidRDefault="001F5F12" w:rsidP="00F8235A">
            <w:pPr>
              <w:spacing w:after="0"/>
              <w:jc w:val="both"/>
              <w:rPr>
                <w:rFonts w:ascii="宋体" w:eastAsia="宋体" w:hAnsi="宋体" w:cs="Times New Roman"/>
                <w:kern w:val="2"/>
                <w:sz w:val="21"/>
              </w:rPr>
            </w:pPr>
            <w:r>
              <w:rPr>
                <w:rFonts w:ascii="宋体" w:eastAsia="宋体" w:hAnsi="宋体" w:cs="Times New Roman" w:hint="eastAsia"/>
                <w:kern w:val="2"/>
                <w:sz w:val="21"/>
              </w:rPr>
              <w:t>DW001</w:t>
            </w:r>
            <w:r>
              <w:rPr>
                <w:rFonts w:ascii="Arial" w:eastAsia="宋体" w:hAnsi="Arial" w:cs="Arial"/>
                <w:color w:val="333333"/>
                <w:sz w:val="21"/>
                <w:szCs w:val="21"/>
                <w:shd w:val="clear" w:color="auto" w:fill="FFFFFF"/>
              </w:rPr>
              <w:t>屠宰废水排放口</w:t>
            </w:r>
          </w:p>
        </w:tc>
        <w:tc>
          <w:tcPr>
            <w:tcW w:w="818" w:type="dxa"/>
            <w:tcMar>
              <w:left w:w="57" w:type="dxa"/>
              <w:right w:w="57" w:type="dxa"/>
            </w:tcMar>
            <w:vAlign w:val="center"/>
          </w:tcPr>
          <w:p w:rsidR="001F5F12" w:rsidRDefault="001F5F12" w:rsidP="001F5F12">
            <w:pPr>
              <w:pStyle w:val="a3"/>
              <w:spacing w:after="0"/>
              <w:rPr>
                <w:rFonts w:ascii="Arial" w:eastAsia="宋体" w:hAnsi="Arial" w:cs="Arial"/>
                <w:color w:val="333333"/>
                <w:sz w:val="21"/>
                <w:szCs w:val="21"/>
                <w:shd w:val="clear" w:color="auto" w:fill="FFFFFF"/>
              </w:rPr>
            </w:pPr>
            <w:r>
              <w:rPr>
                <w:rFonts w:ascii="Arial" w:eastAsia="宋体" w:hAnsi="Arial" w:cs="Arial" w:hint="eastAsia"/>
                <w:color w:val="333333"/>
                <w:sz w:val="21"/>
                <w:szCs w:val="21"/>
                <w:shd w:val="clear" w:color="auto" w:fill="FFFFFF"/>
              </w:rPr>
              <w:t>五日生化需氧量</w:t>
            </w:r>
          </w:p>
        </w:tc>
        <w:tc>
          <w:tcPr>
            <w:tcW w:w="1176" w:type="dxa"/>
            <w:tcMar>
              <w:left w:w="57" w:type="dxa"/>
              <w:right w:w="57" w:type="dxa"/>
            </w:tcMar>
            <w:vAlign w:val="center"/>
          </w:tcPr>
          <w:p w:rsidR="001F5F12" w:rsidRDefault="001F5F12" w:rsidP="00F8235A">
            <w:pPr>
              <w:pStyle w:val="a3"/>
              <w:spacing w:after="0"/>
              <w:ind w:firstLineChars="0" w:firstLine="0"/>
              <w:jc w:val="both"/>
              <w:rPr>
                <w:rFonts w:ascii="宋体" w:hAnsi="宋体" w:cs="Times New Roman"/>
                <w:kern w:val="2"/>
                <w:sz w:val="21"/>
              </w:rPr>
            </w:pPr>
            <w:r>
              <w:rPr>
                <w:rFonts w:ascii="宋体" w:hAnsi="宋体" w:cs="Times New Roman" w:hint="eastAsia"/>
                <w:kern w:val="2"/>
                <w:sz w:val="21"/>
              </w:rPr>
              <w:t>手工监测</w:t>
            </w:r>
          </w:p>
        </w:tc>
        <w:tc>
          <w:tcPr>
            <w:tcW w:w="936"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1次/</w:t>
            </w:r>
            <w:r>
              <w:rPr>
                <w:rFonts w:ascii="宋体" w:hAnsi="宋体" w:cs="Times New Roman" w:hint="eastAsia"/>
                <w:kern w:val="2"/>
                <w:sz w:val="21"/>
              </w:rPr>
              <w:t>半年</w:t>
            </w:r>
          </w:p>
        </w:tc>
        <w:tc>
          <w:tcPr>
            <w:tcW w:w="1763" w:type="dxa"/>
            <w:tcMar>
              <w:left w:w="57" w:type="dxa"/>
              <w:right w:w="57" w:type="dxa"/>
            </w:tcMar>
            <w:vAlign w:val="center"/>
          </w:tcPr>
          <w:p w:rsidR="001F5F12" w:rsidRDefault="001F5F12" w:rsidP="00F8235A">
            <w:pPr>
              <w:pStyle w:val="a3"/>
              <w:spacing w:after="0"/>
              <w:ind w:firstLineChars="0" w:firstLine="0"/>
              <w:jc w:val="both"/>
              <w:rPr>
                <w:rFonts w:ascii="宋体" w:eastAsia="宋体" w:hAnsi="宋体" w:cs="Times New Roman"/>
                <w:kern w:val="2"/>
                <w:sz w:val="21"/>
              </w:rPr>
            </w:pPr>
            <w:r>
              <w:rPr>
                <w:rFonts w:ascii="宋体" w:eastAsia="宋体" w:hAnsi="宋体" w:cs="Times New Roman" w:hint="eastAsia"/>
                <w:kern w:val="2"/>
                <w:sz w:val="21"/>
              </w:rPr>
              <w:t>水质 五日生化需氧量BOD</w:t>
            </w:r>
          </w:p>
        </w:tc>
        <w:tc>
          <w:tcPr>
            <w:tcW w:w="1321" w:type="dxa"/>
            <w:vAlign w:val="center"/>
          </w:tcPr>
          <w:p w:rsidR="001F5F12" w:rsidRDefault="00C915C3" w:rsidP="00F8235A">
            <w:pPr>
              <w:spacing w:after="0"/>
              <w:jc w:val="both"/>
              <w:rPr>
                <w:rFonts w:ascii="宋体" w:eastAsia="宋体" w:hAnsi="宋体" w:cs="Times New Roman"/>
                <w:kern w:val="2"/>
                <w:sz w:val="21"/>
              </w:rPr>
            </w:pPr>
            <w:r>
              <w:rPr>
                <w:rFonts w:ascii="宋体" w:eastAsia="宋体" w:hAnsi="宋体" w:cs="Times New Roman" w:hint="eastAsia"/>
                <w:kern w:val="2"/>
                <w:sz w:val="21"/>
              </w:rPr>
              <w:t>《</w:t>
            </w:r>
            <w:r>
              <w:rPr>
                <w:rFonts w:ascii="Arial" w:eastAsia="宋体" w:hAnsi="Arial" w:cs="Arial"/>
                <w:color w:val="333333"/>
                <w:sz w:val="21"/>
                <w:szCs w:val="21"/>
                <w:shd w:val="clear" w:color="auto" w:fill="FFFFFF"/>
              </w:rPr>
              <w:t>肉类加工工业水污染物排</w:t>
            </w:r>
            <w:r>
              <w:rPr>
                <w:rFonts w:ascii="宋体" w:eastAsia="宋体" w:hAnsi="宋体" w:cs="宋体" w:hint="eastAsia"/>
                <w:color w:val="333333"/>
                <w:sz w:val="21"/>
                <w:szCs w:val="21"/>
                <w:shd w:val="clear" w:color="auto" w:fill="FFFFFF"/>
              </w:rPr>
              <w:t>放标准》GB 13457-92</w:t>
            </w:r>
          </w:p>
        </w:tc>
        <w:tc>
          <w:tcPr>
            <w:tcW w:w="1124" w:type="dxa"/>
            <w:tcMar>
              <w:left w:w="57" w:type="dxa"/>
              <w:right w:w="57" w:type="dxa"/>
            </w:tcMar>
            <w:vAlign w:val="center"/>
          </w:tcPr>
          <w:p w:rsidR="001F5F12" w:rsidRDefault="00C915C3" w:rsidP="00F8235A">
            <w:pPr>
              <w:spacing w:after="0"/>
              <w:jc w:val="both"/>
              <w:rPr>
                <w:rFonts w:ascii="Arial" w:eastAsia="宋体" w:hAnsi="Arial" w:cs="Arial"/>
                <w:color w:val="333333"/>
                <w:sz w:val="21"/>
                <w:szCs w:val="21"/>
                <w:shd w:val="clear" w:color="auto" w:fill="FFFFFF"/>
              </w:rPr>
            </w:pPr>
            <w:r>
              <w:rPr>
                <w:rFonts w:ascii="Arial" w:eastAsia="宋体" w:hAnsi="Arial" w:cs="Arial" w:hint="eastAsia"/>
                <w:color w:val="333333"/>
                <w:sz w:val="21"/>
                <w:szCs w:val="21"/>
                <w:shd w:val="clear" w:color="auto" w:fill="FFFFFF"/>
              </w:rPr>
              <w:t>300</w:t>
            </w:r>
            <w:r>
              <w:rPr>
                <w:rFonts w:ascii="Arial" w:eastAsia="宋体" w:hAnsi="Arial" w:cs="Arial"/>
                <w:color w:val="333333"/>
                <w:sz w:val="21"/>
                <w:szCs w:val="21"/>
                <w:shd w:val="clear" w:color="auto" w:fill="FFFFFF"/>
              </w:rPr>
              <w:t xml:space="preserve"> mg/L</w:t>
            </w:r>
          </w:p>
        </w:tc>
      </w:tr>
    </w:tbl>
    <w:p w:rsidR="001F5F12" w:rsidRDefault="001F5F12" w:rsidP="00433C2B">
      <w:pPr>
        <w:spacing w:line="220" w:lineRule="atLeast"/>
        <w:rPr>
          <w:sz w:val="28"/>
          <w:szCs w:val="28"/>
        </w:rPr>
      </w:pPr>
    </w:p>
    <w:p w:rsidR="00C915C3" w:rsidRPr="00623132" w:rsidRDefault="00C915C3" w:rsidP="00623132">
      <w:pPr>
        <w:spacing w:line="220" w:lineRule="atLeast"/>
        <w:jc w:val="center"/>
        <w:rPr>
          <w:rFonts w:asciiTheme="majorEastAsia" w:eastAsiaTheme="majorEastAsia" w:hAnsiTheme="majorEastAsia"/>
          <w:b/>
          <w:sz w:val="24"/>
          <w:szCs w:val="24"/>
        </w:rPr>
      </w:pPr>
      <w:r w:rsidRPr="00623132">
        <w:rPr>
          <w:rFonts w:asciiTheme="majorEastAsia" w:eastAsiaTheme="majorEastAsia" w:hAnsiTheme="majorEastAsia" w:hint="eastAsia"/>
          <w:b/>
          <w:sz w:val="24"/>
          <w:szCs w:val="24"/>
        </w:rPr>
        <w:t>表2   废气排放监测指标、频次及监测分析方法</w:t>
      </w:r>
    </w:p>
    <w:tbl>
      <w:tblPr>
        <w:tblStyle w:val="a4"/>
        <w:tblW w:w="8564" w:type="dxa"/>
        <w:tblLook w:val="04A0"/>
      </w:tblPr>
      <w:tblGrid>
        <w:gridCol w:w="817"/>
        <w:gridCol w:w="1134"/>
        <w:gridCol w:w="1134"/>
        <w:gridCol w:w="1134"/>
        <w:gridCol w:w="1897"/>
        <w:gridCol w:w="1363"/>
        <w:gridCol w:w="1085"/>
      </w:tblGrid>
      <w:tr w:rsidR="00E1278E" w:rsidTr="00E1278E">
        <w:trPr>
          <w:trHeight w:val="806"/>
        </w:trPr>
        <w:tc>
          <w:tcPr>
            <w:tcW w:w="817" w:type="dxa"/>
          </w:tcPr>
          <w:p w:rsidR="00C915C3" w:rsidRDefault="00C915C3" w:rsidP="00C915C3">
            <w:pPr>
              <w:pStyle w:val="a3"/>
              <w:ind w:firstLineChars="0" w:firstLine="0"/>
              <w:rPr>
                <w:rFonts w:ascii="宋体" w:hAnsi="宋体" w:cs="宋体"/>
                <w:sz w:val="21"/>
                <w:szCs w:val="21"/>
              </w:rPr>
            </w:pPr>
            <w:r>
              <w:rPr>
                <w:rFonts w:ascii="宋体" w:hAnsi="宋体" w:cs="宋体" w:hint="eastAsia"/>
                <w:sz w:val="21"/>
                <w:szCs w:val="21"/>
              </w:rPr>
              <w:t>监测点位</w:t>
            </w:r>
          </w:p>
        </w:tc>
        <w:tc>
          <w:tcPr>
            <w:tcW w:w="1134" w:type="dxa"/>
          </w:tcPr>
          <w:p w:rsidR="00C915C3" w:rsidRDefault="00C915C3" w:rsidP="00C915C3">
            <w:pPr>
              <w:pStyle w:val="a3"/>
              <w:ind w:firstLineChars="0" w:firstLine="0"/>
              <w:rPr>
                <w:rFonts w:ascii="宋体" w:hAnsi="宋体" w:cs="宋体"/>
                <w:sz w:val="21"/>
                <w:szCs w:val="21"/>
              </w:rPr>
            </w:pPr>
            <w:r>
              <w:rPr>
                <w:rFonts w:ascii="宋体" w:hAnsi="宋体" w:cs="宋体" w:hint="eastAsia"/>
                <w:sz w:val="21"/>
                <w:szCs w:val="21"/>
              </w:rPr>
              <w:t>监测项目</w:t>
            </w:r>
          </w:p>
        </w:tc>
        <w:tc>
          <w:tcPr>
            <w:tcW w:w="1134" w:type="dxa"/>
          </w:tcPr>
          <w:p w:rsidR="00C915C3" w:rsidRDefault="00C915C3" w:rsidP="00C915C3">
            <w:pPr>
              <w:pStyle w:val="a3"/>
              <w:ind w:firstLineChars="0" w:firstLine="0"/>
              <w:rPr>
                <w:rFonts w:ascii="宋体" w:hAnsi="宋体" w:cs="宋体"/>
                <w:sz w:val="21"/>
                <w:szCs w:val="21"/>
              </w:rPr>
            </w:pPr>
            <w:r>
              <w:rPr>
                <w:rFonts w:ascii="宋体" w:hAnsi="宋体" w:cs="宋体" w:hint="eastAsia"/>
                <w:sz w:val="21"/>
                <w:szCs w:val="21"/>
              </w:rPr>
              <w:t>技术手段</w:t>
            </w:r>
          </w:p>
        </w:tc>
        <w:tc>
          <w:tcPr>
            <w:tcW w:w="1134" w:type="dxa"/>
          </w:tcPr>
          <w:p w:rsidR="00C915C3" w:rsidRDefault="00C915C3" w:rsidP="00C915C3">
            <w:pPr>
              <w:pStyle w:val="a3"/>
              <w:ind w:firstLineChars="0" w:firstLine="0"/>
              <w:rPr>
                <w:rFonts w:ascii="宋体" w:hAnsi="宋体" w:cs="宋体"/>
                <w:sz w:val="21"/>
                <w:szCs w:val="21"/>
              </w:rPr>
            </w:pPr>
            <w:r>
              <w:rPr>
                <w:rFonts w:ascii="宋体" w:hAnsi="宋体" w:cs="宋体" w:hint="eastAsia"/>
                <w:sz w:val="21"/>
                <w:szCs w:val="21"/>
              </w:rPr>
              <w:t>监测频次</w:t>
            </w:r>
          </w:p>
        </w:tc>
        <w:tc>
          <w:tcPr>
            <w:tcW w:w="1897" w:type="dxa"/>
          </w:tcPr>
          <w:p w:rsidR="00C915C3" w:rsidRDefault="00C915C3" w:rsidP="00C915C3">
            <w:pPr>
              <w:pStyle w:val="a3"/>
              <w:ind w:firstLineChars="0" w:firstLine="0"/>
              <w:rPr>
                <w:rFonts w:ascii="宋体" w:hAnsi="宋体" w:cs="宋体"/>
                <w:sz w:val="21"/>
                <w:szCs w:val="21"/>
              </w:rPr>
            </w:pPr>
            <w:r>
              <w:rPr>
                <w:rFonts w:ascii="宋体" w:hAnsi="宋体" w:cs="宋体" w:hint="eastAsia"/>
                <w:sz w:val="21"/>
                <w:szCs w:val="21"/>
              </w:rPr>
              <w:t>监测方法</w:t>
            </w:r>
          </w:p>
        </w:tc>
        <w:tc>
          <w:tcPr>
            <w:tcW w:w="1363" w:type="dxa"/>
          </w:tcPr>
          <w:p w:rsidR="00C915C3" w:rsidRDefault="00C915C3" w:rsidP="00C915C3">
            <w:pPr>
              <w:pStyle w:val="a3"/>
              <w:ind w:firstLineChars="0" w:firstLine="0"/>
              <w:rPr>
                <w:rFonts w:ascii="宋体" w:hAnsi="宋体" w:cs="宋体"/>
                <w:sz w:val="21"/>
                <w:szCs w:val="21"/>
              </w:rPr>
            </w:pPr>
            <w:r>
              <w:rPr>
                <w:rFonts w:ascii="宋体" w:hAnsi="宋体" w:cs="宋体" w:hint="eastAsia"/>
                <w:sz w:val="21"/>
                <w:szCs w:val="21"/>
              </w:rPr>
              <w:t>排放标准</w:t>
            </w:r>
          </w:p>
        </w:tc>
        <w:tc>
          <w:tcPr>
            <w:tcW w:w="1085" w:type="dxa"/>
          </w:tcPr>
          <w:p w:rsidR="00C915C3" w:rsidRDefault="00C915C3" w:rsidP="00C915C3">
            <w:pPr>
              <w:pStyle w:val="a3"/>
              <w:ind w:firstLineChars="0" w:firstLine="0"/>
              <w:rPr>
                <w:rFonts w:ascii="宋体" w:hAnsi="宋体" w:cs="宋体"/>
                <w:sz w:val="21"/>
                <w:szCs w:val="21"/>
              </w:rPr>
            </w:pPr>
            <w:r>
              <w:rPr>
                <w:rFonts w:ascii="宋体" w:hAnsi="宋体" w:cs="宋体" w:hint="eastAsia"/>
                <w:sz w:val="21"/>
                <w:szCs w:val="21"/>
              </w:rPr>
              <w:t>排放限值</w:t>
            </w:r>
          </w:p>
        </w:tc>
      </w:tr>
      <w:tr w:rsidR="00E1278E" w:rsidTr="00E1278E">
        <w:trPr>
          <w:trHeight w:val="690"/>
        </w:trPr>
        <w:tc>
          <w:tcPr>
            <w:tcW w:w="817" w:type="dxa"/>
          </w:tcPr>
          <w:p w:rsidR="00C915C3" w:rsidRPr="009D66EF" w:rsidRDefault="00C915C3" w:rsidP="00433C2B">
            <w:pPr>
              <w:spacing w:line="220" w:lineRule="atLeast"/>
              <w:rPr>
                <w:sz w:val="21"/>
                <w:szCs w:val="21"/>
              </w:rPr>
            </w:pPr>
            <w:r w:rsidRPr="009D66EF">
              <w:rPr>
                <w:rFonts w:hint="eastAsia"/>
                <w:sz w:val="21"/>
                <w:szCs w:val="21"/>
              </w:rPr>
              <w:t>厂界</w:t>
            </w:r>
          </w:p>
        </w:tc>
        <w:tc>
          <w:tcPr>
            <w:tcW w:w="1134" w:type="dxa"/>
          </w:tcPr>
          <w:p w:rsidR="00C915C3" w:rsidRPr="009D66EF" w:rsidRDefault="00C915C3" w:rsidP="00433C2B">
            <w:pPr>
              <w:spacing w:line="220" w:lineRule="atLeast"/>
              <w:rPr>
                <w:sz w:val="21"/>
                <w:szCs w:val="21"/>
              </w:rPr>
            </w:pPr>
            <w:r w:rsidRPr="009D66EF">
              <w:rPr>
                <w:rFonts w:hint="eastAsia"/>
                <w:sz w:val="21"/>
                <w:szCs w:val="21"/>
              </w:rPr>
              <w:t>臭气浓度</w:t>
            </w:r>
          </w:p>
        </w:tc>
        <w:tc>
          <w:tcPr>
            <w:tcW w:w="1134" w:type="dxa"/>
          </w:tcPr>
          <w:p w:rsidR="00C915C3" w:rsidRPr="009D66EF" w:rsidRDefault="00C915C3" w:rsidP="00433C2B">
            <w:pPr>
              <w:spacing w:line="220" w:lineRule="atLeast"/>
              <w:rPr>
                <w:sz w:val="21"/>
                <w:szCs w:val="21"/>
              </w:rPr>
            </w:pPr>
            <w:r w:rsidRPr="009D66EF">
              <w:rPr>
                <w:rFonts w:hint="eastAsia"/>
                <w:sz w:val="21"/>
                <w:szCs w:val="21"/>
              </w:rPr>
              <w:t>手工监测</w:t>
            </w:r>
          </w:p>
        </w:tc>
        <w:tc>
          <w:tcPr>
            <w:tcW w:w="1134" w:type="dxa"/>
          </w:tcPr>
          <w:p w:rsidR="00C915C3" w:rsidRPr="009D66EF" w:rsidRDefault="00C915C3" w:rsidP="00433C2B">
            <w:pPr>
              <w:spacing w:line="220" w:lineRule="atLeast"/>
              <w:rPr>
                <w:sz w:val="21"/>
                <w:szCs w:val="21"/>
              </w:rPr>
            </w:pPr>
            <w:r w:rsidRPr="009D66EF">
              <w:rPr>
                <w:rFonts w:hint="eastAsia"/>
                <w:sz w:val="21"/>
                <w:szCs w:val="21"/>
              </w:rPr>
              <w:t>1</w:t>
            </w:r>
            <w:r w:rsidRPr="009D66EF">
              <w:rPr>
                <w:rFonts w:hint="eastAsia"/>
                <w:sz w:val="21"/>
                <w:szCs w:val="21"/>
              </w:rPr>
              <w:t>次</w:t>
            </w:r>
            <w:r w:rsidRPr="009D66EF">
              <w:rPr>
                <w:rFonts w:hint="eastAsia"/>
                <w:sz w:val="21"/>
                <w:szCs w:val="21"/>
              </w:rPr>
              <w:t>/</w:t>
            </w:r>
            <w:r w:rsidRPr="009D66EF">
              <w:rPr>
                <w:rFonts w:hint="eastAsia"/>
                <w:sz w:val="21"/>
                <w:szCs w:val="21"/>
              </w:rPr>
              <w:t>半年</w:t>
            </w:r>
          </w:p>
        </w:tc>
        <w:tc>
          <w:tcPr>
            <w:tcW w:w="1897" w:type="dxa"/>
          </w:tcPr>
          <w:p w:rsidR="00C915C3" w:rsidRPr="009D66EF" w:rsidRDefault="009D66EF" w:rsidP="00433C2B">
            <w:pPr>
              <w:spacing w:line="220" w:lineRule="atLeast"/>
              <w:rPr>
                <w:sz w:val="18"/>
                <w:szCs w:val="18"/>
              </w:rPr>
            </w:pPr>
            <w:r w:rsidRPr="009D66EF">
              <w:rPr>
                <w:rFonts w:hint="eastAsia"/>
                <w:sz w:val="18"/>
                <w:szCs w:val="18"/>
              </w:rPr>
              <w:t>空气质量</w:t>
            </w:r>
            <w:r w:rsidRPr="009D66EF">
              <w:rPr>
                <w:rFonts w:hint="eastAsia"/>
                <w:sz w:val="18"/>
                <w:szCs w:val="18"/>
              </w:rPr>
              <w:t xml:space="preserve"> </w:t>
            </w:r>
            <w:r w:rsidRPr="009D66EF">
              <w:rPr>
                <w:rFonts w:hint="eastAsia"/>
                <w:sz w:val="18"/>
                <w:szCs w:val="18"/>
              </w:rPr>
              <w:t>恶臭的测定</w:t>
            </w:r>
            <w:r w:rsidRPr="009D66EF">
              <w:rPr>
                <w:rFonts w:hint="eastAsia"/>
                <w:sz w:val="18"/>
                <w:szCs w:val="18"/>
              </w:rPr>
              <w:t xml:space="preserve"> </w:t>
            </w:r>
            <w:r w:rsidRPr="009D66EF">
              <w:rPr>
                <w:rFonts w:hint="eastAsia"/>
                <w:sz w:val="18"/>
                <w:szCs w:val="18"/>
              </w:rPr>
              <w:t>三点比较</w:t>
            </w:r>
            <w:r>
              <w:rPr>
                <w:rFonts w:hint="eastAsia"/>
                <w:sz w:val="18"/>
                <w:szCs w:val="18"/>
              </w:rPr>
              <w:t>式臭袋法</w:t>
            </w:r>
          </w:p>
        </w:tc>
        <w:tc>
          <w:tcPr>
            <w:tcW w:w="1363" w:type="dxa"/>
          </w:tcPr>
          <w:p w:rsidR="00C915C3" w:rsidRPr="00E1278E" w:rsidRDefault="00E1278E" w:rsidP="00433C2B">
            <w:pPr>
              <w:spacing w:line="220" w:lineRule="atLeast"/>
              <w:rPr>
                <w:rFonts w:asciiTheme="majorEastAsia" w:eastAsiaTheme="majorEastAsia" w:hAnsiTheme="majorEastAsia"/>
                <w:sz w:val="18"/>
                <w:szCs w:val="18"/>
              </w:rPr>
            </w:pPr>
            <w:r w:rsidRPr="00E1278E">
              <w:rPr>
                <w:rFonts w:asciiTheme="majorEastAsia" w:eastAsiaTheme="majorEastAsia" w:hAnsiTheme="majorEastAsia" w:hint="eastAsia"/>
                <w:sz w:val="18"/>
                <w:szCs w:val="18"/>
              </w:rPr>
              <w:t>GB/T 14675-1993</w:t>
            </w:r>
          </w:p>
        </w:tc>
        <w:tc>
          <w:tcPr>
            <w:tcW w:w="1085" w:type="dxa"/>
          </w:tcPr>
          <w:p w:rsidR="00C915C3" w:rsidRPr="00BF6AE0" w:rsidRDefault="00BF6AE0" w:rsidP="00433C2B">
            <w:pPr>
              <w:spacing w:line="220" w:lineRule="atLeast"/>
              <w:rPr>
                <w:rFonts w:asciiTheme="majorEastAsia" w:eastAsiaTheme="majorEastAsia" w:hAnsiTheme="majorEastAsia"/>
                <w:sz w:val="28"/>
                <w:szCs w:val="28"/>
              </w:rPr>
            </w:pPr>
            <w:r w:rsidRPr="00BF6AE0">
              <w:rPr>
                <w:rFonts w:asciiTheme="majorEastAsia" w:eastAsiaTheme="majorEastAsia" w:hAnsiTheme="majorEastAsia" w:hint="eastAsia"/>
                <w:sz w:val="28"/>
                <w:szCs w:val="28"/>
              </w:rPr>
              <w:t>20</w:t>
            </w:r>
          </w:p>
        </w:tc>
      </w:tr>
      <w:tr w:rsidR="00E1278E" w:rsidTr="00E1278E">
        <w:trPr>
          <w:trHeight w:val="554"/>
        </w:trPr>
        <w:tc>
          <w:tcPr>
            <w:tcW w:w="817" w:type="dxa"/>
          </w:tcPr>
          <w:p w:rsidR="00C915C3" w:rsidRPr="009D66EF" w:rsidRDefault="00C915C3" w:rsidP="00433C2B">
            <w:pPr>
              <w:spacing w:line="220" w:lineRule="atLeast"/>
              <w:rPr>
                <w:sz w:val="21"/>
                <w:szCs w:val="21"/>
              </w:rPr>
            </w:pPr>
            <w:r w:rsidRPr="009D66EF">
              <w:rPr>
                <w:rFonts w:hint="eastAsia"/>
                <w:sz w:val="21"/>
                <w:szCs w:val="21"/>
              </w:rPr>
              <w:t>厂界</w:t>
            </w:r>
          </w:p>
          <w:p w:rsidR="00C915C3" w:rsidRPr="009D66EF" w:rsidRDefault="00C915C3" w:rsidP="00433C2B">
            <w:pPr>
              <w:spacing w:line="220" w:lineRule="atLeast"/>
              <w:rPr>
                <w:sz w:val="21"/>
                <w:szCs w:val="21"/>
              </w:rPr>
            </w:pPr>
          </w:p>
        </w:tc>
        <w:tc>
          <w:tcPr>
            <w:tcW w:w="1134" w:type="dxa"/>
          </w:tcPr>
          <w:p w:rsidR="00C915C3" w:rsidRPr="009D66EF" w:rsidRDefault="00C915C3" w:rsidP="00433C2B">
            <w:pPr>
              <w:spacing w:line="220" w:lineRule="atLeast"/>
              <w:rPr>
                <w:sz w:val="21"/>
                <w:szCs w:val="21"/>
              </w:rPr>
            </w:pPr>
            <w:r w:rsidRPr="009D66EF">
              <w:rPr>
                <w:rFonts w:hint="eastAsia"/>
                <w:sz w:val="21"/>
                <w:szCs w:val="21"/>
              </w:rPr>
              <w:t>氨气</w:t>
            </w:r>
          </w:p>
        </w:tc>
        <w:tc>
          <w:tcPr>
            <w:tcW w:w="1134" w:type="dxa"/>
          </w:tcPr>
          <w:p w:rsidR="00C915C3" w:rsidRPr="009D66EF" w:rsidRDefault="00C915C3" w:rsidP="00433C2B">
            <w:pPr>
              <w:spacing w:line="220" w:lineRule="atLeast"/>
              <w:rPr>
                <w:sz w:val="21"/>
                <w:szCs w:val="21"/>
              </w:rPr>
            </w:pPr>
            <w:r w:rsidRPr="009D66EF">
              <w:rPr>
                <w:rFonts w:hint="eastAsia"/>
                <w:sz w:val="21"/>
                <w:szCs w:val="21"/>
              </w:rPr>
              <w:t>手工监测</w:t>
            </w:r>
          </w:p>
        </w:tc>
        <w:tc>
          <w:tcPr>
            <w:tcW w:w="1134" w:type="dxa"/>
          </w:tcPr>
          <w:p w:rsidR="00C915C3" w:rsidRPr="009D66EF" w:rsidRDefault="00C915C3" w:rsidP="00433C2B">
            <w:pPr>
              <w:spacing w:line="220" w:lineRule="atLeast"/>
              <w:rPr>
                <w:sz w:val="21"/>
                <w:szCs w:val="21"/>
              </w:rPr>
            </w:pPr>
            <w:r w:rsidRPr="009D66EF">
              <w:rPr>
                <w:rFonts w:hint="eastAsia"/>
                <w:sz w:val="21"/>
                <w:szCs w:val="21"/>
              </w:rPr>
              <w:t>1</w:t>
            </w:r>
            <w:r w:rsidRPr="009D66EF">
              <w:rPr>
                <w:rFonts w:hint="eastAsia"/>
                <w:sz w:val="21"/>
                <w:szCs w:val="21"/>
              </w:rPr>
              <w:t>次</w:t>
            </w:r>
            <w:r w:rsidRPr="009D66EF">
              <w:rPr>
                <w:rFonts w:hint="eastAsia"/>
                <w:sz w:val="21"/>
                <w:szCs w:val="21"/>
              </w:rPr>
              <w:t>/</w:t>
            </w:r>
            <w:r w:rsidRPr="009D66EF">
              <w:rPr>
                <w:rFonts w:hint="eastAsia"/>
                <w:sz w:val="21"/>
                <w:szCs w:val="21"/>
              </w:rPr>
              <w:t>半年</w:t>
            </w:r>
          </w:p>
        </w:tc>
        <w:tc>
          <w:tcPr>
            <w:tcW w:w="1897" w:type="dxa"/>
          </w:tcPr>
          <w:p w:rsidR="00C915C3" w:rsidRPr="009D66EF" w:rsidRDefault="009D66EF" w:rsidP="00433C2B">
            <w:pPr>
              <w:spacing w:line="220" w:lineRule="atLeast"/>
              <w:rPr>
                <w:sz w:val="21"/>
                <w:szCs w:val="21"/>
              </w:rPr>
            </w:pPr>
            <w:r w:rsidRPr="009D66EF">
              <w:rPr>
                <w:rFonts w:hint="eastAsia"/>
                <w:sz w:val="21"/>
                <w:szCs w:val="21"/>
              </w:rPr>
              <w:t>环境空气</w:t>
            </w:r>
            <w:r>
              <w:rPr>
                <w:rFonts w:hint="eastAsia"/>
                <w:sz w:val="21"/>
                <w:szCs w:val="21"/>
              </w:rPr>
              <w:t xml:space="preserve">  </w:t>
            </w:r>
            <w:r>
              <w:rPr>
                <w:rFonts w:hint="eastAsia"/>
                <w:sz w:val="21"/>
                <w:szCs w:val="21"/>
              </w:rPr>
              <w:t>氨的测定</w:t>
            </w:r>
            <w:r>
              <w:rPr>
                <w:rFonts w:hint="eastAsia"/>
                <w:sz w:val="21"/>
                <w:szCs w:val="21"/>
              </w:rPr>
              <w:t xml:space="preserve"> </w:t>
            </w:r>
            <w:r>
              <w:rPr>
                <w:rFonts w:hint="eastAsia"/>
                <w:sz w:val="21"/>
                <w:szCs w:val="21"/>
              </w:rPr>
              <w:t>次氯酸钠</w:t>
            </w:r>
            <w:r>
              <w:rPr>
                <w:rFonts w:hint="eastAsia"/>
                <w:sz w:val="21"/>
                <w:szCs w:val="21"/>
              </w:rPr>
              <w:t>-</w:t>
            </w:r>
            <w:r>
              <w:rPr>
                <w:rFonts w:hint="eastAsia"/>
                <w:sz w:val="21"/>
                <w:szCs w:val="21"/>
              </w:rPr>
              <w:t>水杨酸分光光度法</w:t>
            </w:r>
          </w:p>
        </w:tc>
        <w:tc>
          <w:tcPr>
            <w:tcW w:w="1363" w:type="dxa"/>
          </w:tcPr>
          <w:p w:rsidR="00C915C3" w:rsidRPr="00E1278E" w:rsidRDefault="00E1278E" w:rsidP="00433C2B">
            <w:pPr>
              <w:spacing w:line="220" w:lineRule="atLeast"/>
              <w:rPr>
                <w:rFonts w:asciiTheme="majorEastAsia" w:eastAsiaTheme="majorEastAsia" w:hAnsiTheme="majorEastAsia"/>
                <w:sz w:val="18"/>
                <w:szCs w:val="18"/>
              </w:rPr>
            </w:pPr>
            <w:r w:rsidRPr="00E1278E">
              <w:rPr>
                <w:rFonts w:asciiTheme="majorEastAsia" w:eastAsiaTheme="majorEastAsia" w:hAnsiTheme="majorEastAsia" w:hint="eastAsia"/>
                <w:sz w:val="18"/>
                <w:szCs w:val="18"/>
              </w:rPr>
              <w:t>HJ   534-2009</w:t>
            </w:r>
          </w:p>
        </w:tc>
        <w:tc>
          <w:tcPr>
            <w:tcW w:w="1085" w:type="dxa"/>
          </w:tcPr>
          <w:p w:rsidR="00C915C3" w:rsidRPr="00BF6AE0" w:rsidRDefault="00BF6AE0" w:rsidP="00433C2B">
            <w:pPr>
              <w:spacing w:line="220" w:lineRule="atLeast"/>
              <w:rPr>
                <w:rFonts w:asciiTheme="majorEastAsia" w:eastAsiaTheme="majorEastAsia" w:hAnsiTheme="majorEastAsia"/>
                <w:sz w:val="28"/>
                <w:szCs w:val="28"/>
              </w:rPr>
            </w:pPr>
            <w:r w:rsidRPr="00BF6AE0">
              <w:rPr>
                <w:rFonts w:asciiTheme="majorEastAsia" w:eastAsiaTheme="majorEastAsia" w:hAnsiTheme="majorEastAsia" w:hint="eastAsia"/>
                <w:sz w:val="28"/>
                <w:szCs w:val="28"/>
              </w:rPr>
              <w:t>1.5</w:t>
            </w:r>
          </w:p>
        </w:tc>
      </w:tr>
      <w:tr w:rsidR="00E1278E" w:rsidTr="00E1278E">
        <w:trPr>
          <w:trHeight w:val="579"/>
        </w:trPr>
        <w:tc>
          <w:tcPr>
            <w:tcW w:w="817" w:type="dxa"/>
          </w:tcPr>
          <w:p w:rsidR="00C915C3" w:rsidRPr="009D66EF" w:rsidRDefault="00C915C3" w:rsidP="00433C2B">
            <w:pPr>
              <w:spacing w:line="220" w:lineRule="atLeast"/>
              <w:rPr>
                <w:sz w:val="21"/>
                <w:szCs w:val="21"/>
              </w:rPr>
            </w:pPr>
            <w:r w:rsidRPr="009D66EF">
              <w:rPr>
                <w:rFonts w:hint="eastAsia"/>
                <w:sz w:val="21"/>
                <w:szCs w:val="21"/>
              </w:rPr>
              <w:t>厂界</w:t>
            </w:r>
          </w:p>
        </w:tc>
        <w:tc>
          <w:tcPr>
            <w:tcW w:w="1134" w:type="dxa"/>
          </w:tcPr>
          <w:p w:rsidR="00C915C3" w:rsidRPr="009D66EF" w:rsidRDefault="00C915C3" w:rsidP="00433C2B">
            <w:pPr>
              <w:spacing w:line="220" w:lineRule="atLeast"/>
              <w:rPr>
                <w:sz w:val="21"/>
                <w:szCs w:val="21"/>
              </w:rPr>
            </w:pPr>
            <w:r w:rsidRPr="009D66EF">
              <w:rPr>
                <w:rFonts w:hint="eastAsia"/>
                <w:sz w:val="21"/>
                <w:szCs w:val="21"/>
              </w:rPr>
              <w:t>硫化氢</w:t>
            </w:r>
          </w:p>
        </w:tc>
        <w:tc>
          <w:tcPr>
            <w:tcW w:w="1134" w:type="dxa"/>
          </w:tcPr>
          <w:p w:rsidR="00C915C3" w:rsidRPr="009D66EF" w:rsidRDefault="00C915C3" w:rsidP="00433C2B">
            <w:pPr>
              <w:spacing w:line="220" w:lineRule="atLeast"/>
              <w:rPr>
                <w:sz w:val="21"/>
                <w:szCs w:val="21"/>
              </w:rPr>
            </w:pPr>
            <w:r w:rsidRPr="009D66EF">
              <w:rPr>
                <w:rFonts w:hint="eastAsia"/>
                <w:sz w:val="21"/>
                <w:szCs w:val="21"/>
              </w:rPr>
              <w:t>手工监测</w:t>
            </w:r>
          </w:p>
        </w:tc>
        <w:tc>
          <w:tcPr>
            <w:tcW w:w="1134" w:type="dxa"/>
          </w:tcPr>
          <w:p w:rsidR="00C915C3" w:rsidRPr="009D66EF" w:rsidRDefault="00C915C3" w:rsidP="00433C2B">
            <w:pPr>
              <w:spacing w:line="220" w:lineRule="atLeast"/>
              <w:rPr>
                <w:sz w:val="21"/>
                <w:szCs w:val="21"/>
              </w:rPr>
            </w:pPr>
            <w:r w:rsidRPr="009D66EF">
              <w:rPr>
                <w:rFonts w:hint="eastAsia"/>
                <w:sz w:val="21"/>
                <w:szCs w:val="21"/>
              </w:rPr>
              <w:t>1</w:t>
            </w:r>
            <w:r w:rsidRPr="009D66EF">
              <w:rPr>
                <w:rFonts w:hint="eastAsia"/>
                <w:sz w:val="21"/>
                <w:szCs w:val="21"/>
              </w:rPr>
              <w:t>次</w:t>
            </w:r>
            <w:r w:rsidRPr="009D66EF">
              <w:rPr>
                <w:rFonts w:hint="eastAsia"/>
                <w:sz w:val="21"/>
                <w:szCs w:val="21"/>
              </w:rPr>
              <w:t>/</w:t>
            </w:r>
            <w:r w:rsidRPr="009D66EF">
              <w:rPr>
                <w:rFonts w:hint="eastAsia"/>
                <w:sz w:val="21"/>
                <w:szCs w:val="21"/>
              </w:rPr>
              <w:t>半年</w:t>
            </w:r>
          </w:p>
        </w:tc>
        <w:tc>
          <w:tcPr>
            <w:tcW w:w="1897" w:type="dxa"/>
          </w:tcPr>
          <w:p w:rsidR="00C915C3" w:rsidRPr="009D66EF" w:rsidRDefault="009D66EF" w:rsidP="00433C2B">
            <w:pPr>
              <w:spacing w:line="220" w:lineRule="atLeast"/>
              <w:rPr>
                <w:sz w:val="21"/>
                <w:szCs w:val="21"/>
              </w:rPr>
            </w:pPr>
            <w:r>
              <w:rPr>
                <w:rFonts w:hint="eastAsia"/>
                <w:sz w:val="21"/>
                <w:szCs w:val="21"/>
              </w:rPr>
              <w:t>亚甲蓝分光光度法（</w:t>
            </w:r>
            <w:r>
              <w:rPr>
                <w:rFonts w:hint="eastAsia"/>
                <w:sz w:val="21"/>
                <w:szCs w:val="21"/>
              </w:rPr>
              <w:t>B</w:t>
            </w:r>
            <w:r>
              <w:rPr>
                <w:rFonts w:hint="eastAsia"/>
                <w:sz w:val="21"/>
                <w:szCs w:val="21"/>
              </w:rPr>
              <w:t>）《环境空气和废气监测分析方法》（第四版增补版）</w:t>
            </w:r>
          </w:p>
        </w:tc>
        <w:tc>
          <w:tcPr>
            <w:tcW w:w="1363" w:type="dxa"/>
          </w:tcPr>
          <w:p w:rsidR="00C915C3" w:rsidRPr="00E1278E" w:rsidRDefault="00E1278E" w:rsidP="00433C2B">
            <w:pPr>
              <w:spacing w:line="220" w:lineRule="atLeast"/>
              <w:rPr>
                <w:rFonts w:asciiTheme="majorEastAsia" w:eastAsiaTheme="majorEastAsia" w:hAnsiTheme="majorEastAsia"/>
                <w:sz w:val="18"/>
                <w:szCs w:val="18"/>
              </w:rPr>
            </w:pPr>
            <w:r w:rsidRPr="00E1278E">
              <w:rPr>
                <w:rFonts w:asciiTheme="majorEastAsia" w:eastAsiaTheme="majorEastAsia" w:hAnsiTheme="majorEastAsia" w:hint="eastAsia"/>
                <w:sz w:val="18"/>
                <w:szCs w:val="18"/>
              </w:rPr>
              <w:t>/</w:t>
            </w:r>
          </w:p>
        </w:tc>
        <w:tc>
          <w:tcPr>
            <w:tcW w:w="1085" w:type="dxa"/>
          </w:tcPr>
          <w:p w:rsidR="00C915C3" w:rsidRPr="00BF6AE0" w:rsidRDefault="00BF6AE0" w:rsidP="00433C2B">
            <w:pPr>
              <w:spacing w:line="220" w:lineRule="atLeast"/>
              <w:rPr>
                <w:rFonts w:asciiTheme="majorEastAsia" w:eastAsiaTheme="majorEastAsia" w:hAnsiTheme="majorEastAsia"/>
                <w:sz w:val="28"/>
                <w:szCs w:val="28"/>
              </w:rPr>
            </w:pPr>
            <w:r w:rsidRPr="00BF6AE0">
              <w:rPr>
                <w:rFonts w:asciiTheme="majorEastAsia" w:eastAsiaTheme="majorEastAsia" w:hAnsiTheme="majorEastAsia" w:hint="eastAsia"/>
                <w:sz w:val="28"/>
                <w:szCs w:val="28"/>
              </w:rPr>
              <w:t>0.06</w:t>
            </w:r>
          </w:p>
        </w:tc>
      </w:tr>
      <w:tr w:rsidR="00C915C3" w:rsidTr="00E1278E">
        <w:trPr>
          <w:trHeight w:val="579"/>
        </w:trPr>
        <w:tc>
          <w:tcPr>
            <w:tcW w:w="817" w:type="dxa"/>
          </w:tcPr>
          <w:p w:rsidR="00C915C3" w:rsidRPr="009D66EF" w:rsidRDefault="00C915C3" w:rsidP="00433C2B">
            <w:pPr>
              <w:spacing w:line="220" w:lineRule="atLeast"/>
              <w:rPr>
                <w:sz w:val="21"/>
                <w:szCs w:val="21"/>
              </w:rPr>
            </w:pPr>
            <w:r w:rsidRPr="009D66EF">
              <w:rPr>
                <w:rFonts w:hint="eastAsia"/>
                <w:sz w:val="21"/>
                <w:szCs w:val="21"/>
              </w:rPr>
              <w:t>厂界</w:t>
            </w:r>
          </w:p>
        </w:tc>
        <w:tc>
          <w:tcPr>
            <w:tcW w:w="1134" w:type="dxa"/>
          </w:tcPr>
          <w:p w:rsidR="00C915C3" w:rsidRPr="009D66EF" w:rsidRDefault="00C915C3" w:rsidP="00433C2B">
            <w:pPr>
              <w:spacing w:line="220" w:lineRule="atLeast"/>
              <w:rPr>
                <w:sz w:val="21"/>
                <w:szCs w:val="21"/>
              </w:rPr>
            </w:pPr>
            <w:r w:rsidRPr="009D66EF">
              <w:rPr>
                <w:rFonts w:hint="eastAsia"/>
                <w:sz w:val="21"/>
                <w:szCs w:val="21"/>
              </w:rPr>
              <w:t>颗粒物</w:t>
            </w:r>
          </w:p>
        </w:tc>
        <w:tc>
          <w:tcPr>
            <w:tcW w:w="1134" w:type="dxa"/>
          </w:tcPr>
          <w:p w:rsidR="00C915C3" w:rsidRPr="009D66EF" w:rsidRDefault="00C915C3" w:rsidP="00433C2B">
            <w:pPr>
              <w:spacing w:line="220" w:lineRule="atLeast"/>
              <w:rPr>
                <w:sz w:val="21"/>
                <w:szCs w:val="21"/>
              </w:rPr>
            </w:pPr>
            <w:r w:rsidRPr="009D66EF">
              <w:rPr>
                <w:rFonts w:hint="eastAsia"/>
                <w:sz w:val="21"/>
                <w:szCs w:val="21"/>
              </w:rPr>
              <w:t>手工监测</w:t>
            </w:r>
          </w:p>
        </w:tc>
        <w:tc>
          <w:tcPr>
            <w:tcW w:w="1134" w:type="dxa"/>
          </w:tcPr>
          <w:p w:rsidR="00C915C3" w:rsidRPr="009D66EF" w:rsidRDefault="00C915C3" w:rsidP="00433C2B">
            <w:pPr>
              <w:spacing w:line="220" w:lineRule="atLeast"/>
              <w:rPr>
                <w:sz w:val="21"/>
                <w:szCs w:val="21"/>
              </w:rPr>
            </w:pPr>
            <w:r w:rsidRPr="009D66EF">
              <w:rPr>
                <w:rFonts w:hint="eastAsia"/>
                <w:sz w:val="21"/>
                <w:szCs w:val="21"/>
              </w:rPr>
              <w:t>1</w:t>
            </w:r>
            <w:r w:rsidRPr="009D66EF">
              <w:rPr>
                <w:rFonts w:hint="eastAsia"/>
                <w:sz w:val="21"/>
                <w:szCs w:val="21"/>
              </w:rPr>
              <w:t>次</w:t>
            </w:r>
            <w:r w:rsidRPr="009D66EF">
              <w:rPr>
                <w:rFonts w:hint="eastAsia"/>
                <w:sz w:val="21"/>
                <w:szCs w:val="21"/>
              </w:rPr>
              <w:t>/</w:t>
            </w:r>
            <w:r w:rsidRPr="009D66EF">
              <w:rPr>
                <w:rFonts w:hint="eastAsia"/>
                <w:sz w:val="21"/>
                <w:szCs w:val="21"/>
              </w:rPr>
              <w:t>季度</w:t>
            </w:r>
          </w:p>
        </w:tc>
        <w:tc>
          <w:tcPr>
            <w:tcW w:w="1897" w:type="dxa"/>
          </w:tcPr>
          <w:p w:rsidR="00C915C3" w:rsidRPr="009D66EF" w:rsidRDefault="009D66EF" w:rsidP="00433C2B">
            <w:pPr>
              <w:spacing w:line="220" w:lineRule="atLeast"/>
              <w:rPr>
                <w:sz w:val="21"/>
                <w:szCs w:val="21"/>
              </w:rPr>
            </w:pPr>
            <w:r>
              <w:rPr>
                <w:rFonts w:hint="eastAsia"/>
                <w:sz w:val="21"/>
                <w:szCs w:val="21"/>
              </w:rPr>
              <w:t>环境空气</w:t>
            </w:r>
            <w:r>
              <w:rPr>
                <w:rFonts w:hint="eastAsia"/>
                <w:sz w:val="21"/>
                <w:szCs w:val="21"/>
              </w:rPr>
              <w:t xml:space="preserve">  </w:t>
            </w:r>
            <w:r>
              <w:rPr>
                <w:rFonts w:hint="eastAsia"/>
                <w:sz w:val="21"/>
                <w:szCs w:val="21"/>
              </w:rPr>
              <w:t>总悬浮颗粒为的测定</w:t>
            </w:r>
            <w:r>
              <w:rPr>
                <w:rFonts w:hint="eastAsia"/>
                <w:sz w:val="21"/>
                <w:szCs w:val="21"/>
              </w:rPr>
              <w:t xml:space="preserve">    </w:t>
            </w:r>
            <w:r>
              <w:rPr>
                <w:rFonts w:hint="eastAsia"/>
                <w:sz w:val="21"/>
                <w:szCs w:val="21"/>
              </w:rPr>
              <w:t>重量法</w:t>
            </w:r>
          </w:p>
        </w:tc>
        <w:tc>
          <w:tcPr>
            <w:tcW w:w="1363" w:type="dxa"/>
          </w:tcPr>
          <w:p w:rsidR="00C915C3" w:rsidRPr="00E1278E" w:rsidRDefault="00E1278E" w:rsidP="00E1278E">
            <w:pPr>
              <w:spacing w:line="220" w:lineRule="atLeast"/>
              <w:rPr>
                <w:rFonts w:asciiTheme="majorEastAsia" w:eastAsiaTheme="majorEastAsia" w:hAnsiTheme="majorEastAsia"/>
                <w:sz w:val="18"/>
                <w:szCs w:val="18"/>
              </w:rPr>
            </w:pPr>
            <w:r w:rsidRPr="00E1278E">
              <w:rPr>
                <w:rFonts w:asciiTheme="majorEastAsia" w:eastAsiaTheme="majorEastAsia" w:hAnsiTheme="majorEastAsia" w:hint="eastAsia"/>
                <w:sz w:val="18"/>
                <w:szCs w:val="18"/>
              </w:rPr>
              <w:t>GB/T15432-1995</w:t>
            </w:r>
          </w:p>
        </w:tc>
        <w:tc>
          <w:tcPr>
            <w:tcW w:w="1085" w:type="dxa"/>
          </w:tcPr>
          <w:p w:rsidR="00C915C3" w:rsidRPr="00BF6AE0" w:rsidRDefault="00BF6AE0" w:rsidP="00433C2B">
            <w:pPr>
              <w:spacing w:line="220" w:lineRule="atLeast"/>
              <w:rPr>
                <w:rFonts w:asciiTheme="majorEastAsia" w:eastAsiaTheme="majorEastAsia" w:hAnsiTheme="majorEastAsia"/>
                <w:sz w:val="28"/>
                <w:szCs w:val="28"/>
              </w:rPr>
            </w:pPr>
            <w:r w:rsidRPr="00BF6AE0">
              <w:rPr>
                <w:rFonts w:asciiTheme="majorEastAsia" w:eastAsiaTheme="majorEastAsia" w:hAnsiTheme="majorEastAsia" w:hint="eastAsia"/>
                <w:sz w:val="28"/>
                <w:szCs w:val="28"/>
              </w:rPr>
              <w:t>1.0</w:t>
            </w:r>
          </w:p>
        </w:tc>
      </w:tr>
    </w:tbl>
    <w:p w:rsidR="00BF6AE0" w:rsidRDefault="00BF6AE0" w:rsidP="00433C2B">
      <w:pPr>
        <w:spacing w:line="220" w:lineRule="atLeast"/>
        <w:rPr>
          <w:sz w:val="28"/>
          <w:szCs w:val="28"/>
        </w:rPr>
      </w:pPr>
    </w:p>
    <w:p w:rsidR="00BF6AE0" w:rsidRPr="00610BAC" w:rsidRDefault="00BF6AE0" w:rsidP="00433C2B">
      <w:pPr>
        <w:spacing w:line="220" w:lineRule="atLeast"/>
        <w:rPr>
          <w:rFonts w:asciiTheme="minorEastAsia" w:eastAsiaTheme="minorEastAsia" w:hAnsiTheme="minorEastAsia"/>
          <w:sz w:val="28"/>
          <w:szCs w:val="28"/>
        </w:rPr>
      </w:pPr>
      <w:r w:rsidRPr="00610BAC">
        <w:rPr>
          <w:rFonts w:asciiTheme="minorEastAsia" w:eastAsiaTheme="minorEastAsia" w:hAnsiTheme="minorEastAsia" w:hint="eastAsia"/>
          <w:sz w:val="28"/>
          <w:szCs w:val="28"/>
        </w:rPr>
        <w:t>四、委托检测</w:t>
      </w:r>
    </w:p>
    <w:p w:rsidR="00BF6AE0" w:rsidRPr="00610BAC" w:rsidRDefault="00BF6AE0" w:rsidP="00433C2B">
      <w:pPr>
        <w:spacing w:line="220" w:lineRule="atLeast"/>
        <w:rPr>
          <w:rFonts w:asciiTheme="minorEastAsia" w:eastAsiaTheme="minorEastAsia" w:hAnsiTheme="minorEastAsia"/>
          <w:sz w:val="28"/>
          <w:szCs w:val="28"/>
        </w:rPr>
      </w:pPr>
      <w:r w:rsidRPr="00610BAC">
        <w:rPr>
          <w:rFonts w:asciiTheme="minorEastAsia" w:eastAsiaTheme="minorEastAsia" w:hAnsiTheme="minorEastAsia" w:hint="eastAsia"/>
          <w:sz w:val="28"/>
          <w:szCs w:val="28"/>
        </w:rPr>
        <w:t>本单位无组织排放，废水排放全部委托第三方公司开展手工监测。采样和样品保存方法和仪器、质量保证和质量控制等方面本单位不制定相关内容，只按规定保存监测报告。</w:t>
      </w:r>
    </w:p>
    <w:p w:rsidR="00BF6AE0" w:rsidRPr="00610BAC" w:rsidRDefault="00BF6AE0" w:rsidP="00433C2B">
      <w:pPr>
        <w:spacing w:line="220" w:lineRule="atLeast"/>
        <w:rPr>
          <w:rFonts w:asciiTheme="minorEastAsia" w:eastAsiaTheme="minorEastAsia" w:hAnsiTheme="minorEastAsia"/>
          <w:sz w:val="28"/>
          <w:szCs w:val="28"/>
        </w:rPr>
      </w:pPr>
      <w:r w:rsidRPr="00610BAC">
        <w:rPr>
          <w:rFonts w:asciiTheme="minorEastAsia" w:eastAsiaTheme="minorEastAsia" w:hAnsiTheme="minorEastAsia" w:hint="eastAsia"/>
          <w:sz w:val="28"/>
          <w:szCs w:val="28"/>
        </w:rPr>
        <w:t>五、质量要求</w:t>
      </w:r>
    </w:p>
    <w:p w:rsidR="00BF6AE0" w:rsidRPr="00610BAC" w:rsidRDefault="00BF6AE0" w:rsidP="00433C2B">
      <w:pPr>
        <w:spacing w:line="220" w:lineRule="atLeast"/>
        <w:rPr>
          <w:rFonts w:asciiTheme="minorEastAsia" w:eastAsiaTheme="minorEastAsia" w:hAnsiTheme="minorEastAsia"/>
          <w:sz w:val="28"/>
          <w:szCs w:val="28"/>
        </w:rPr>
      </w:pPr>
      <w:r w:rsidRPr="00610BAC">
        <w:rPr>
          <w:rFonts w:asciiTheme="minorEastAsia" w:eastAsiaTheme="minorEastAsia" w:hAnsiTheme="minorEastAsia" w:hint="eastAsia"/>
          <w:sz w:val="28"/>
          <w:szCs w:val="28"/>
        </w:rPr>
        <w:t>1.编制监测工作质量控制计划，选择与监测活动类型和工作量相适应的质控方法，包括使用标准物质、采用空白试验、平行样测定等，定期进行数据分析。</w:t>
      </w:r>
    </w:p>
    <w:p w:rsidR="00BF6AE0" w:rsidRPr="00610BAC" w:rsidRDefault="00BF6AE0" w:rsidP="00433C2B">
      <w:pPr>
        <w:spacing w:line="220" w:lineRule="atLeast"/>
        <w:rPr>
          <w:rFonts w:asciiTheme="majorEastAsia" w:eastAsiaTheme="majorEastAsia" w:hAnsiTheme="majorEastAsia"/>
          <w:sz w:val="28"/>
          <w:szCs w:val="28"/>
        </w:rPr>
      </w:pPr>
      <w:r w:rsidRPr="00610BAC">
        <w:rPr>
          <w:rFonts w:asciiTheme="majorEastAsia" w:eastAsiaTheme="majorEastAsia" w:hAnsiTheme="majorEastAsia" w:hint="eastAsia"/>
          <w:sz w:val="28"/>
          <w:szCs w:val="28"/>
        </w:rPr>
        <w:lastRenderedPageBreak/>
        <w:t>2.按照监测方法和技术规范的要求开展监测活动，若存在相关标准规定不明确但又影响监测数据质量的活动，可编写《作业指导书》予以明确。编制工作流程等相关技术规定，规定任务下达和实施，分析用一起设备购买、验收、维护和维修，监测结果的审核签发、</w:t>
      </w:r>
      <w:r w:rsidR="00623132" w:rsidRPr="00610BAC">
        <w:rPr>
          <w:rFonts w:asciiTheme="majorEastAsia" w:eastAsiaTheme="majorEastAsia" w:hAnsiTheme="majorEastAsia" w:hint="eastAsia"/>
          <w:sz w:val="28"/>
          <w:szCs w:val="28"/>
        </w:rPr>
        <w:t>监测结果录入发布等工作的责任人和完成时限，确保监测各环节无缝衔接。设计记录表格，对监测过程的关键信息予以记录并存档。定期对自行监测工作开展的时效性、自行监测数据的代表性和准确性、管理部门检查结论和公众对自行监测数据的反馈等情况进行评估，识别自行监测存在的问题，及时采取纠正措施。管理部门执法监测与排污单位自行监测不一致的，以管理部门执法监测结果为准，作为判断污染物排放是否达标、自行监测设施是否正常运行的依据。</w:t>
      </w:r>
    </w:p>
    <w:p w:rsidR="00623132" w:rsidRDefault="00623132" w:rsidP="00433C2B">
      <w:pPr>
        <w:spacing w:line="220" w:lineRule="atLeast"/>
        <w:rPr>
          <w:rFonts w:asciiTheme="majorEastAsia" w:eastAsiaTheme="majorEastAsia" w:hAnsiTheme="majorEastAsia"/>
          <w:sz w:val="28"/>
          <w:szCs w:val="28"/>
        </w:rPr>
      </w:pPr>
      <w:r w:rsidRPr="00610BAC">
        <w:rPr>
          <w:rFonts w:asciiTheme="majorEastAsia" w:eastAsiaTheme="majorEastAsia" w:hAnsiTheme="majorEastAsia" w:hint="eastAsia"/>
          <w:sz w:val="28"/>
          <w:szCs w:val="28"/>
        </w:rPr>
        <w:t>六、</w:t>
      </w:r>
      <w:r w:rsidR="00610BAC">
        <w:rPr>
          <w:rFonts w:asciiTheme="majorEastAsia" w:eastAsiaTheme="majorEastAsia" w:hAnsiTheme="majorEastAsia" w:hint="eastAsia"/>
          <w:sz w:val="28"/>
          <w:szCs w:val="28"/>
        </w:rPr>
        <w:t>监测数据记录、整理、存档要求</w:t>
      </w:r>
    </w:p>
    <w:p w:rsidR="00610BAC" w:rsidRDefault="00610BAC" w:rsidP="00433C2B">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1.手工监测记录</w:t>
      </w:r>
    </w:p>
    <w:p w:rsidR="00610BAC" w:rsidRDefault="00610BAC" w:rsidP="00433C2B">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排污单位应建立污染防治设施运行管理监测记录，记录、台账的形式和质量控制参照HJ/T 373 、HJ 819等相关要求执行。监测记录包括无组织废气污染物监测，废水污染物监测。监测记录信息应包括监测日期、监测时间、监测结果、监测期工况、若有超标记录超标原因。有监测报告的可只记录监测期工况及超标排放的原因。</w:t>
      </w:r>
    </w:p>
    <w:p w:rsidR="00683E67" w:rsidRDefault="00683E67" w:rsidP="00433C2B">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2.生产设施运行情况</w:t>
      </w:r>
    </w:p>
    <w:p w:rsidR="00683E67" w:rsidRDefault="00683E67" w:rsidP="00433C2B">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排污单位应定期记录生产运行状况，并留档保存，记录内容主要包括生产设施运行情况及产品产量等信息。</w:t>
      </w:r>
    </w:p>
    <w:p w:rsidR="00683E67" w:rsidRPr="00683E67" w:rsidRDefault="00683E67" w:rsidP="00683E67">
      <w:pPr>
        <w:pStyle w:val="a3"/>
        <w:numPr>
          <w:ilvl w:val="0"/>
          <w:numId w:val="4"/>
        </w:numPr>
        <w:spacing w:line="220" w:lineRule="atLeast"/>
        <w:ind w:firstLineChars="0"/>
        <w:rPr>
          <w:rFonts w:asciiTheme="majorEastAsia" w:eastAsiaTheme="majorEastAsia" w:hAnsiTheme="majorEastAsia"/>
          <w:sz w:val="28"/>
          <w:szCs w:val="28"/>
        </w:rPr>
      </w:pPr>
      <w:r w:rsidRPr="00683E67">
        <w:rPr>
          <w:rFonts w:asciiTheme="majorEastAsia" w:eastAsiaTheme="majorEastAsia" w:hAnsiTheme="majorEastAsia" w:hint="eastAsia"/>
          <w:sz w:val="28"/>
          <w:szCs w:val="28"/>
        </w:rPr>
        <w:t>正常工况应包括设施名称/编号、生产设施编号、主要生产设施规格参数、设计生产力、运行状态、产品产量等</w:t>
      </w:r>
    </w:p>
    <w:p w:rsidR="00683E67" w:rsidRDefault="00683E67" w:rsidP="00683E67">
      <w:pPr>
        <w:pStyle w:val="a3"/>
        <w:numPr>
          <w:ilvl w:val="0"/>
          <w:numId w:val="4"/>
        </w:numPr>
        <w:spacing w:line="220" w:lineRule="atLeast"/>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非正常工况应记录起止时间、产品产量及事件原因。对应措施、是否报告等。</w:t>
      </w:r>
    </w:p>
    <w:p w:rsidR="00683E67" w:rsidRDefault="00683E67" w:rsidP="00433C2B">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3.污染</w:t>
      </w:r>
      <w:r w:rsidR="00367C11">
        <w:rPr>
          <w:rFonts w:asciiTheme="majorEastAsia" w:eastAsiaTheme="majorEastAsia" w:hAnsiTheme="majorEastAsia" w:hint="eastAsia"/>
          <w:sz w:val="28"/>
          <w:szCs w:val="28"/>
        </w:rPr>
        <w:t>防治设施运行情况</w:t>
      </w:r>
    </w:p>
    <w:p w:rsidR="00367C11" w:rsidRDefault="00367C11" w:rsidP="00433C2B">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1） 正常情况：污染防治设施运行管理信息应按照设施类别分别记录设施的实际运行相关参数和维护记录</w:t>
      </w:r>
    </w:p>
    <w:p w:rsidR="00683E67" w:rsidRDefault="00367C11" w:rsidP="00433C2B">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a)  无组织废气治理设施应记录以下内容：厂区降尘洒水次数、抑制剂种类、车轮清洗方式、原料或产品场地封闭、遮盖情况、是否出现破损。</w:t>
      </w:r>
    </w:p>
    <w:p w:rsidR="00683E67" w:rsidRDefault="00367C11" w:rsidP="005928D4">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b)  废水治理设施应记录以下内容：废水处理能力（t/d）、运行参数（包括运行工况等）</w:t>
      </w:r>
      <w:r w:rsidR="005928D4">
        <w:rPr>
          <w:rFonts w:asciiTheme="majorEastAsia" w:eastAsiaTheme="majorEastAsia" w:hAnsiTheme="majorEastAsia" w:hint="eastAsia"/>
          <w:sz w:val="28"/>
          <w:szCs w:val="28"/>
        </w:rPr>
        <w:t>、废水排放量、废水回用量、污泥产生量及运行费用（元/t）,滤泥量及去向、排水去向等。</w:t>
      </w:r>
    </w:p>
    <w:p w:rsidR="005928D4" w:rsidRDefault="005928D4" w:rsidP="005928D4">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2）异常情况起止时间、污染物排放浓度、异常原因、应对措施、是否报告等。</w:t>
      </w:r>
    </w:p>
    <w:p w:rsidR="005928D4" w:rsidRDefault="005928D4" w:rsidP="005928D4">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4、存档要求</w:t>
      </w:r>
    </w:p>
    <w:p w:rsidR="005928D4" w:rsidRDefault="005928D4" w:rsidP="005928D4">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应采用电子台账及纸质台账相结合的存档方式，将纸质台账存放于保护袋、卷夹或保护盒等保存介质中；由专人签字、定点保存；应采取防光、放热、防潮、防细菌及防污染等措施；如有破损应及时修补，并留存备查；电子台账及纸质台账保存时间原则上不低于3年。</w:t>
      </w:r>
    </w:p>
    <w:p w:rsidR="005928D4" w:rsidRDefault="005928D4" w:rsidP="005928D4">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七、总结</w:t>
      </w:r>
    </w:p>
    <w:p w:rsidR="005928D4" w:rsidRDefault="005928D4" w:rsidP="005928D4">
      <w:pPr>
        <w:spacing w:line="220" w:lineRule="atLeas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根据上述方案要求，公司自行开展监测，做好质控及档案整理，可以满足国家及地方环保要求。</w:t>
      </w: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Default="00A743D9" w:rsidP="005928D4">
      <w:pPr>
        <w:spacing w:line="220" w:lineRule="atLeast"/>
        <w:rPr>
          <w:rFonts w:asciiTheme="majorEastAsia" w:eastAsiaTheme="majorEastAsia" w:hAnsiTheme="majorEastAsia" w:hint="eastAsia"/>
          <w:sz w:val="28"/>
          <w:szCs w:val="28"/>
        </w:rPr>
      </w:pPr>
    </w:p>
    <w:p w:rsidR="00A743D9" w:rsidRPr="005928D4" w:rsidRDefault="00A743D9" w:rsidP="005928D4">
      <w:pPr>
        <w:spacing w:line="220" w:lineRule="atLeast"/>
        <w:rPr>
          <w:rFonts w:asciiTheme="majorEastAsia" w:eastAsiaTheme="majorEastAsia" w:hAnsiTheme="majorEastAsia"/>
          <w:sz w:val="28"/>
          <w:szCs w:val="28"/>
        </w:rPr>
      </w:pPr>
      <w:r>
        <w:rPr>
          <w:rFonts w:ascii="宋体" w:hAnsi="宋体" w:cs="宋体"/>
          <w:noProof/>
          <w:sz w:val="24"/>
        </w:rPr>
        <w:drawing>
          <wp:inline distT="0" distB="0" distL="0" distR="0">
            <wp:extent cx="5743575" cy="5819775"/>
            <wp:effectExtent l="19050" t="0" r="9525" b="0"/>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8" r:link="rId9" cstate="print"/>
                    <a:srcRect/>
                    <a:stretch>
                      <a:fillRect/>
                    </a:stretch>
                  </pic:blipFill>
                  <pic:spPr bwMode="auto">
                    <a:xfrm>
                      <a:off x="0" y="0"/>
                      <a:ext cx="5743575" cy="5819775"/>
                    </a:xfrm>
                    <a:prstGeom prst="rect">
                      <a:avLst/>
                    </a:prstGeom>
                    <a:noFill/>
                    <a:ln w="9525">
                      <a:noFill/>
                      <a:miter lim="800000"/>
                      <a:headEnd/>
                      <a:tailEnd/>
                    </a:ln>
                  </pic:spPr>
                </pic:pic>
              </a:graphicData>
            </a:graphic>
          </wp:inline>
        </w:drawing>
      </w:r>
    </w:p>
    <w:sectPr w:rsidR="00A743D9" w:rsidRPr="005928D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2B" w:rsidRDefault="008D652B" w:rsidP="00902A7A">
      <w:pPr>
        <w:spacing w:after="0"/>
      </w:pPr>
      <w:r>
        <w:separator/>
      </w:r>
    </w:p>
  </w:endnote>
  <w:endnote w:type="continuationSeparator" w:id="0">
    <w:p w:rsidR="008D652B" w:rsidRDefault="008D652B" w:rsidP="00902A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2B" w:rsidRDefault="008D652B" w:rsidP="00902A7A">
      <w:pPr>
        <w:spacing w:after="0"/>
      </w:pPr>
      <w:r>
        <w:separator/>
      </w:r>
    </w:p>
  </w:footnote>
  <w:footnote w:type="continuationSeparator" w:id="0">
    <w:p w:rsidR="008D652B" w:rsidRDefault="008D652B" w:rsidP="00902A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646"/>
    <w:multiLevelType w:val="hybridMultilevel"/>
    <w:tmpl w:val="176A98F6"/>
    <w:lvl w:ilvl="0" w:tplc="1E3E744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9504F8"/>
    <w:multiLevelType w:val="hybridMultilevel"/>
    <w:tmpl w:val="1D328E0A"/>
    <w:lvl w:ilvl="0" w:tplc="568C972C">
      <w:start w:val="1"/>
      <w:numFmt w:val="decimal"/>
      <w:lvlText w:val="（%1）"/>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nsid w:val="6FBD6E87"/>
    <w:multiLevelType w:val="hybridMultilevel"/>
    <w:tmpl w:val="951AA570"/>
    <w:lvl w:ilvl="0" w:tplc="D33AE9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8C4E1C"/>
    <w:multiLevelType w:val="hybridMultilevel"/>
    <w:tmpl w:val="3392DCBA"/>
    <w:lvl w:ilvl="0" w:tplc="69AEB7F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1F5F12"/>
    <w:rsid w:val="002D2917"/>
    <w:rsid w:val="00323B43"/>
    <w:rsid w:val="0035757F"/>
    <w:rsid w:val="00367C11"/>
    <w:rsid w:val="003D37D8"/>
    <w:rsid w:val="003E5646"/>
    <w:rsid w:val="003F7EA2"/>
    <w:rsid w:val="00426133"/>
    <w:rsid w:val="00433C2B"/>
    <w:rsid w:val="004358AB"/>
    <w:rsid w:val="0048588D"/>
    <w:rsid w:val="00580B62"/>
    <w:rsid w:val="005928D4"/>
    <w:rsid w:val="005B3D50"/>
    <w:rsid w:val="00610BAC"/>
    <w:rsid w:val="00623132"/>
    <w:rsid w:val="00683E67"/>
    <w:rsid w:val="00691DBA"/>
    <w:rsid w:val="006A574E"/>
    <w:rsid w:val="00723452"/>
    <w:rsid w:val="007E6303"/>
    <w:rsid w:val="0085578A"/>
    <w:rsid w:val="008B7726"/>
    <w:rsid w:val="008D652B"/>
    <w:rsid w:val="00902A7A"/>
    <w:rsid w:val="009D66EF"/>
    <w:rsid w:val="00A44E01"/>
    <w:rsid w:val="00A743D9"/>
    <w:rsid w:val="00A8006E"/>
    <w:rsid w:val="00B663DB"/>
    <w:rsid w:val="00BF2701"/>
    <w:rsid w:val="00BF6AE0"/>
    <w:rsid w:val="00C915C3"/>
    <w:rsid w:val="00D31D50"/>
    <w:rsid w:val="00D74873"/>
    <w:rsid w:val="00E1278E"/>
    <w:rsid w:val="00E25218"/>
    <w:rsid w:val="00F765EF"/>
    <w:rsid w:val="00FF7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4E01"/>
    <w:pPr>
      <w:ind w:firstLineChars="200" w:firstLine="420"/>
    </w:pPr>
  </w:style>
  <w:style w:type="table" w:styleId="a4">
    <w:name w:val="Table Grid"/>
    <w:basedOn w:val="a1"/>
    <w:uiPriority w:val="59"/>
    <w:rsid w:val="00C91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902A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902A7A"/>
    <w:rPr>
      <w:rFonts w:ascii="Tahoma" w:hAnsi="Tahoma"/>
      <w:sz w:val="18"/>
      <w:szCs w:val="18"/>
    </w:rPr>
  </w:style>
  <w:style w:type="paragraph" w:styleId="a6">
    <w:name w:val="footer"/>
    <w:basedOn w:val="a"/>
    <w:link w:val="Char0"/>
    <w:uiPriority w:val="99"/>
    <w:semiHidden/>
    <w:unhideWhenUsed/>
    <w:rsid w:val="00902A7A"/>
    <w:pPr>
      <w:tabs>
        <w:tab w:val="center" w:pos="4153"/>
        <w:tab w:val="right" w:pos="8306"/>
      </w:tabs>
    </w:pPr>
    <w:rPr>
      <w:sz w:val="18"/>
      <w:szCs w:val="18"/>
    </w:rPr>
  </w:style>
  <w:style w:type="character" w:customStyle="1" w:styleId="Char0">
    <w:name w:val="页脚 Char"/>
    <w:basedOn w:val="a0"/>
    <w:link w:val="a6"/>
    <w:uiPriority w:val="99"/>
    <w:semiHidden/>
    <w:rsid w:val="00902A7A"/>
    <w:rPr>
      <w:rFonts w:ascii="Tahoma" w:hAnsi="Tahoma"/>
      <w:sz w:val="18"/>
      <w:szCs w:val="18"/>
    </w:rPr>
  </w:style>
  <w:style w:type="paragraph" w:styleId="a7">
    <w:name w:val="Balloon Text"/>
    <w:basedOn w:val="a"/>
    <w:link w:val="Char1"/>
    <w:uiPriority w:val="99"/>
    <w:semiHidden/>
    <w:unhideWhenUsed/>
    <w:rsid w:val="00A743D9"/>
    <w:pPr>
      <w:spacing w:after="0"/>
    </w:pPr>
    <w:rPr>
      <w:sz w:val="18"/>
      <w:szCs w:val="18"/>
    </w:rPr>
  </w:style>
  <w:style w:type="character" w:customStyle="1" w:styleId="Char1">
    <w:name w:val="批注框文本 Char"/>
    <w:basedOn w:val="a0"/>
    <w:link w:val="a7"/>
    <w:uiPriority w:val="99"/>
    <w:semiHidden/>
    <w:rsid w:val="00A743D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Administrator\AppData\Roaming\Tencent\Users\794976244\QQ\WinTemp\RichOle\HWCOVP6~2%60TS2@TRKE7_WM2.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1ED525-BCD4-48CF-BDF1-8C7627B0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11</cp:revision>
  <dcterms:created xsi:type="dcterms:W3CDTF">2008-09-11T17:20:00Z</dcterms:created>
  <dcterms:modified xsi:type="dcterms:W3CDTF">2021-01-15T08:50:00Z</dcterms:modified>
</cp:coreProperties>
</file>